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D37D" w14:textId="77777777" w:rsidR="000B3038" w:rsidRDefault="00FE2B35" w:rsidP="00FE2B35">
      <w:pPr>
        <w:jc w:val="center"/>
        <w:rPr>
          <w:rFonts w:ascii="Calibri" w:hAnsi="Calibri" w:cs="Calibri"/>
          <w:b/>
          <w:bCs/>
          <w:lang w:val="fr-FR"/>
        </w:rPr>
      </w:pPr>
      <w:r>
        <w:rPr>
          <w:rFonts w:ascii="Calibri" w:hAnsi="Calibri" w:cs="Calibri"/>
          <w:b/>
          <w:bCs/>
          <w:lang w:val="fr-FR"/>
        </w:rPr>
        <w:t xml:space="preserve">                                       </w:t>
      </w:r>
    </w:p>
    <w:p w14:paraId="2D5F7420" w14:textId="77777777" w:rsidR="00E94718" w:rsidRDefault="00E94718" w:rsidP="00FE2B35">
      <w:pPr>
        <w:jc w:val="center"/>
        <w:rPr>
          <w:rFonts w:ascii="Calibri" w:hAnsi="Calibri" w:cs="Calibri"/>
          <w:b/>
          <w:bCs/>
          <w:lang w:val="fr-FR"/>
        </w:rPr>
      </w:pPr>
    </w:p>
    <w:p w14:paraId="6D3DF483" w14:textId="7ECE0319" w:rsidR="00FE2B35" w:rsidRPr="00A82FB4" w:rsidRDefault="00FE2B35" w:rsidP="002C0C23">
      <w:pPr>
        <w:spacing w:after="0" w:line="240" w:lineRule="auto"/>
        <w:jc w:val="center"/>
        <w:rPr>
          <w:rFonts w:ascii="Calibri" w:hAnsi="Calibri" w:cs="Calibri"/>
          <w:b/>
          <w:bCs/>
          <w:i/>
          <w:iCs/>
          <w:sz w:val="28"/>
          <w:szCs w:val="28"/>
          <w:lang w:val="fr-FR"/>
        </w:rPr>
      </w:pPr>
      <w:r w:rsidRPr="00A82FB4">
        <w:rPr>
          <w:rFonts w:ascii="Calibri" w:hAnsi="Calibri" w:cs="Calibri"/>
          <w:b/>
          <w:bCs/>
          <w:sz w:val="28"/>
          <w:szCs w:val="28"/>
          <w:lang w:val="fr-FR"/>
        </w:rPr>
        <w:t xml:space="preserve">Note conceptuelle : </w:t>
      </w:r>
      <w:r w:rsidR="009B2A60" w:rsidRPr="00A82FB4">
        <w:rPr>
          <w:i/>
          <w:iCs/>
          <w:sz w:val="28"/>
          <w:szCs w:val="28"/>
          <w:lang w:val="fr-FR"/>
        </w:rPr>
        <w:t>Atelier régional sur la cartographie des infrastructures de fibre optique pour stimuler l’investissement et accélérer la connectivité universelle en Afrique centrale</w:t>
      </w:r>
      <w:r w:rsidRPr="00A82FB4">
        <w:rPr>
          <w:i/>
          <w:iCs/>
          <w:sz w:val="28"/>
          <w:szCs w:val="28"/>
          <w:lang w:val="fr-FR"/>
        </w:rPr>
        <w:t>.</w:t>
      </w:r>
    </w:p>
    <w:p w14:paraId="43E03D14" w14:textId="77777777" w:rsidR="00FE2B35" w:rsidRPr="00A82FB4" w:rsidRDefault="00FE2B35" w:rsidP="00D428E4">
      <w:pPr>
        <w:jc w:val="both"/>
        <w:rPr>
          <w:lang w:val="fr-FR"/>
        </w:rPr>
      </w:pPr>
    </w:p>
    <w:p w14:paraId="5BBBEF01" w14:textId="77777777" w:rsidR="00FE2B35" w:rsidRPr="00A82FB4" w:rsidRDefault="00FE2B35" w:rsidP="007B511D">
      <w:pPr>
        <w:pStyle w:val="Paragraphedeliste"/>
        <w:numPr>
          <w:ilvl w:val="0"/>
          <w:numId w:val="2"/>
        </w:numPr>
        <w:spacing w:line="240" w:lineRule="auto"/>
        <w:jc w:val="both"/>
        <w:rPr>
          <w:rFonts w:ascii="Calibri" w:hAnsi="Calibri" w:cs="Calibri"/>
          <w:b/>
          <w:bCs/>
          <w:lang w:val="fr-FR"/>
        </w:rPr>
      </w:pPr>
      <w:r w:rsidRPr="00A82FB4">
        <w:rPr>
          <w:rFonts w:ascii="Calibri" w:hAnsi="Calibri" w:cs="Calibri"/>
          <w:b/>
          <w:bCs/>
          <w:lang w:val="fr-FR"/>
        </w:rPr>
        <w:t xml:space="preserve">Contexte et introduction : </w:t>
      </w:r>
    </w:p>
    <w:p w14:paraId="1DD7AA28" w14:textId="53CCEDA7" w:rsidR="00D428E4" w:rsidRPr="00A82FB4" w:rsidRDefault="00D428E4" w:rsidP="007B511D">
      <w:pPr>
        <w:spacing w:line="240" w:lineRule="auto"/>
        <w:jc w:val="both"/>
        <w:rPr>
          <w:lang w:val="fr-FR"/>
        </w:rPr>
      </w:pPr>
      <w:r w:rsidRPr="00A82FB4">
        <w:rPr>
          <w:lang w:val="fr-FR"/>
        </w:rPr>
        <w:t>En Afrique centrale, la fracture numérique reste l’une des plus marquées du continent. Malgré les progrès réalisés dans certains pays, l’accès au haut débit demeure limité, coûteux et inégalement réparti. Si les grandes villes bénéficient d’une couverture relativement satisfaisante, les zones rurales et transfrontalières restent largement sous-desservies, privant des millions de personnes d’un accès régulier et fiable à Internet. Cette situation freine la compétitivité économique et accentue les inégalités sociales et territoriales.</w:t>
      </w:r>
    </w:p>
    <w:p w14:paraId="75A7902D" w14:textId="77777777" w:rsidR="00D428E4" w:rsidRPr="00A82FB4" w:rsidRDefault="00D428E4" w:rsidP="007B511D">
      <w:pPr>
        <w:spacing w:line="240" w:lineRule="auto"/>
        <w:jc w:val="both"/>
        <w:rPr>
          <w:lang w:val="fr-FR"/>
        </w:rPr>
      </w:pPr>
      <w:r w:rsidRPr="00A82FB4">
        <w:rPr>
          <w:lang w:val="fr-FR"/>
        </w:rPr>
        <w:t>Un défi majeur tient à l’absence de données précises, fiables et régulièrement mises à jour sur la couverture réelle des réseaux. La plupart des statistiques disponibles reposent sur les déclarations des opérateurs, sans vérification indépendante ni niveau de détail suffisant. Or, des informations fiables sont indispensables pour planifier des politiques publiques efficaces, orienter les investissements et mettre en œuvre des actions ciblées de réduction de la fracture numérique.</w:t>
      </w:r>
    </w:p>
    <w:p w14:paraId="00EEBCF8" w14:textId="14CBAE93" w:rsidR="000F4E64" w:rsidRPr="00A82FB4" w:rsidRDefault="00D428E4" w:rsidP="00FE5EB6">
      <w:pPr>
        <w:spacing w:line="240" w:lineRule="auto"/>
        <w:jc w:val="both"/>
        <w:rPr>
          <w:lang w:val="fr-FR"/>
        </w:rPr>
      </w:pPr>
      <w:r w:rsidRPr="00A82FB4">
        <w:rPr>
          <w:lang w:val="fr-FR"/>
        </w:rPr>
        <w:t>Pour répondre à ce besoin, l’ARTAC, en partenariat avec l’UIT, propose de mettre en œuvre un projet de cartographie du haut débit en Afrique centrale</w:t>
      </w:r>
      <w:r w:rsidR="003C1A50" w:rsidRPr="00A82FB4">
        <w:rPr>
          <w:lang w:val="fr-FR"/>
        </w:rPr>
        <w:t xml:space="preserve">. </w:t>
      </w:r>
      <w:r w:rsidR="000F4E64" w:rsidRPr="00A82FB4">
        <w:rPr>
          <w:lang w:val="fr-FR"/>
        </w:rPr>
        <w:t xml:space="preserve">L'atelier présentera la méthodologie permettant de mesurer les lacunes dans l'infrastructure des TIC et de planifier les activités de connectivité. Il vise à </w:t>
      </w:r>
      <w:r w:rsidR="007C236C" w:rsidRPr="00A82FB4">
        <w:rPr>
          <w:lang w:val="fr-FR"/>
        </w:rPr>
        <w:t>renforcer</w:t>
      </w:r>
      <w:r w:rsidR="000F4E64" w:rsidRPr="00A82FB4">
        <w:rPr>
          <w:lang w:val="fr-FR"/>
        </w:rPr>
        <w:t xml:space="preserve"> les compétences théoriques et pratiques des participants dans la collecte de données sur l'infrastructure des TIC, l'identification des zones mal desservies, l'application d'outils SIG et l'utilisation de modèles de connectivité pour tester et comparer des scénarios de connectivité sélectionnés.</w:t>
      </w:r>
    </w:p>
    <w:p w14:paraId="4A06D4D2" w14:textId="4EF64492" w:rsidR="000F4E64" w:rsidRPr="00A82FB4" w:rsidRDefault="000F4E64" w:rsidP="009C0C3B">
      <w:pPr>
        <w:spacing w:line="240" w:lineRule="auto"/>
        <w:jc w:val="both"/>
        <w:rPr>
          <w:lang w:val="fr-FR"/>
        </w:rPr>
      </w:pPr>
      <w:r w:rsidRPr="00A82FB4">
        <w:rPr>
          <w:lang w:val="fr-FR"/>
        </w:rPr>
        <w:t xml:space="preserve">Au cours de sessions pratiques, les participants échangeront </w:t>
      </w:r>
      <w:r w:rsidR="094B7FEF" w:rsidRPr="00A82FB4">
        <w:rPr>
          <w:lang w:val="fr-FR"/>
        </w:rPr>
        <w:t xml:space="preserve">leurs expériences respectives tout en étant formés à l’identification et la </w:t>
      </w:r>
      <w:r w:rsidR="009B2A60" w:rsidRPr="00A82FB4">
        <w:rPr>
          <w:lang w:val="fr-FR"/>
        </w:rPr>
        <w:t>préparation de</w:t>
      </w:r>
      <w:r w:rsidR="1E279D72" w:rsidRPr="00A82FB4">
        <w:rPr>
          <w:lang w:val="fr-FR"/>
        </w:rPr>
        <w:t xml:space="preserve"> </w:t>
      </w:r>
      <w:r w:rsidRPr="00A82FB4">
        <w:rPr>
          <w:lang w:val="fr-FR"/>
        </w:rPr>
        <w:t xml:space="preserve">leurs propres données à l'aide de dictionnaires de données et de normes courantes. Les sessions couvriront des sujets tels que l'analyse exploratoire des données, la validation des données, la visualisation et des sujets plus avancés tels que l'analyse de la visibilité pour la connectivité point à point et l'analyse du chemin de la fibre. </w:t>
      </w:r>
    </w:p>
    <w:p w14:paraId="766FDF6F" w14:textId="170FA01B" w:rsidR="000F4E64" w:rsidRPr="00A82FB4" w:rsidRDefault="000F4E64" w:rsidP="43719490">
      <w:pPr>
        <w:spacing w:line="240" w:lineRule="auto"/>
        <w:jc w:val="both"/>
        <w:rPr>
          <w:lang w:val="fr-FR"/>
        </w:rPr>
      </w:pPr>
      <w:r w:rsidRPr="00A82FB4">
        <w:rPr>
          <w:lang w:val="fr-FR"/>
        </w:rPr>
        <w:t>L'atelier fournira des informations sur la façon d'utiliser la plateforme de planification de la connectivité (CPP), un nouvel outil axé sur les données qui aide les gouvernements, les régulateurs, les opérateurs et les partenaires à prendre des décisions fondées sur des données probantes grâce à des données intégrées, une modélisation dynamique et des informations exploitables pour la planification du haut débit et du dernier kilomètre</w:t>
      </w:r>
      <w:r w:rsidR="69124750" w:rsidRPr="00A82FB4">
        <w:rPr>
          <w:lang w:val="fr-FR"/>
        </w:rPr>
        <w:t xml:space="preserve"> (notion qui fait référence à l'installation finale du câble de fibre jusqu'au domicile ou lieu de travail de l'abonné, représentant la section la plus complexe et coûteuse du réseau)</w:t>
      </w:r>
    </w:p>
    <w:p w14:paraId="031F4965" w14:textId="49BB6EB3" w:rsidR="000F4E64" w:rsidRPr="00A82FB4" w:rsidRDefault="000F4E64" w:rsidP="009C0C3B">
      <w:pPr>
        <w:spacing w:line="240" w:lineRule="auto"/>
        <w:jc w:val="both"/>
        <w:rPr>
          <w:lang w:val="fr-FR"/>
        </w:rPr>
      </w:pPr>
    </w:p>
    <w:p w14:paraId="624F57A5" w14:textId="77777777" w:rsidR="000F4E64" w:rsidRPr="00A82FB4" w:rsidRDefault="000F4E64" w:rsidP="009C0C3B">
      <w:pPr>
        <w:spacing w:line="240" w:lineRule="auto"/>
        <w:jc w:val="both"/>
        <w:rPr>
          <w:lang w:val="fr-FR"/>
        </w:rPr>
      </w:pPr>
      <w:r w:rsidRPr="00A82FB4">
        <w:rPr>
          <w:lang w:val="fr-FR"/>
        </w:rPr>
        <w:t>De plus, dans le cadre de la collaboration entre l'UIT et l'ARTAC en 2025 sur les données et la cartographie des infrastructures, les résultats de la recherche documentaire menée dans les 8 États membres de l'ARTAC (Burundi, Cameroun, Gabon, Congo, République démocratique du Congo, République centrafricaine, Guinée équatoriale, Tchad) seront partagés et discutés.</w:t>
      </w:r>
    </w:p>
    <w:p w14:paraId="28B2746F" w14:textId="77777777" w:rsidR="00D34C18" w:rsidRPr="00A82FB4" w:rsidRDefault="00D34C18" w:rsidP="009C0C3B">
      <w:pPr>
        <w:spacing w:line="240" w:lineRule="auto"/>
        <w:jc w:val="both"/>
        <w:rPr>
          <w:lang w:val="fr-FR"/>
        </w:rPr>
      </w:pPr>
    </w:p>
    <w:p w14:paraId="28977977" w14:textId="77777777" w:rsidR="00D34C18" w:rsidRPr="00A82FB4" w:rsidRDefault="00D34C18" w:rsidP="009C0C3B">
      <w:pPr>
        <w:spacing w:line="240" w:lineRule="auto"/>
        <w:jc w:val="both"/>
        <w:rPr>
          <w:lang w:val="fr-FR"/>
        </w:rPr>
      </w:pPr>
    </w:p>
    <w:p w14:paraId="5E05E605" w14:textId="5218E3B3" w:rsidR="001D5139" w:rsidRPr="00A82FB4" w:rsidRDefault="001D5139" w:rsidP="009C0C3B">
      <w:pPr>
        <w:pStyle w:val="Paragraphedeliste"/>
        <w:numPr>
          <w:ilvl w:val="0"/>
          <w:numId w:val="2"/>
        </w:numPr>
        <w:spacing w:line="240" w:lineRule="auto"/>
        <w:jc w:val="both"/>
        <w:rPr>
          <w:rFonts w:ascii="Calibri" w:hAnsi="Calibri" w:cs="Calibri"/>
          <w:b/>
          <w:bCs/>
          <w:lang w:val="fr-FR"/>
        </w:rPr>
      </w:pPr>
      <w:r w:rsidRPr="00A82FB4">
        <w:rPr>
          <w:rFonts w:ascii="Calibri" w:hAnsi="Calibri" w:cs="Calibri"/>
          <w:b/>
          <w:bCs/>
          <w:lang w:val="fr-FR"/>
        </w:rPr>
        <w:t>Objectif général</w:t>
      </w:r>
    </w:p>
    <w:p w14:paraId="23564002" w14:textId="7B5C02A1" w:rsidR="001D5139" w:rsidRPr="00A82FB4" w:rsidRDefault="001D5139" w:rsidP="004B1FC1">
      <w:pPr>
        <w:spacing w:line="240" w:lineRule="auto"/>
        <w:jc w:val="both"/>
        <w:rPr>
          <w:lang w:val="fr-FR"/>
        </w:rPr>
      </w:pPr>
      <w:r w:rsidRPr="00A82FB4">
        <w:rPr>
          <w:lang w:val="fr-FR"/>
        </w:rPr>
        <w:t xml:space="preserve">L’objectif principal de cet atelier est de renforcer les capacités des pays d’Afrique centrale à concevoir et déployer un système de cartographie du haut débit fiable, interactif et régulièrement actualisé, afin de favoriser une meilleure transparence, une planification plus efficace des infrastructures numériques et, in fine, de promouvoir l’inclusion digitale et le développement durable : </w:t>
      </w:r>
    </w:p>
    <w:p w14:paraId="0D7D2640" w14:textId="77777777" w:rsidR="001D5139" w:rsidRPr="00A82FB4" w:rsidRDefault="001D5139" w:rsidP="004B1FC1">
      <w:pPr>
        <w:numPr>
          <w:ilvl w:val="0"/>
          <w:numId w:val="1"/>
        </w:numPr>
        <w:spacing w:after="0" w:line="240" w:lineRule="auto"/>
        <w:ind w:left="714" w:hanging="357"/>
        <w:jc w:val="both"/>
        <w:rPr>
          <w:lang w:val="fr-FR"/>
        </w:rPr>
      </w:pPr>
      <w:r w:rsidRPr="00A82FB4">
        <w:rPr>
          <w:lang w:val="fr-FR"/>
        </w:rPr>
        <w:t>Collecter, centraliser et harmoniser l’ensemble des données existantes relatives à la couverture haut débit.</w:t>
      </w:r>
    </w:p>
    <w:p w14:paraId="153113C9" w14:textId="1AFABA02" w:rsidR="001D5139" w:rsidRPr="00A82FB4" w:rsidRDefault="001D5139" w:rsidP="004B1FC1">
      <w:pPr>
        <w:numPr>
          <w:ilvl w:val="0"/>
          <w:numId w:val="1"/>
        </w:numPr>
        <w:spacing w:after="0" w:line="240" w:lineRule="auto"/>
        <w:ind w:left="714" w:hanging="357"/>
        <w:jc w:val="both"/>
        <w:rPr>
          <w:lang w:val="fr-FR"/>
        </w:rPr>
      </w:pPr>
      <w:r w:rsidRPr="00A82FB4">
        <w:rPr>
          <w:lang w:val="fr-FR"/>
        </w:rPr>
        <w:t>Renseigner la plateforme cartographique interactive, accessible aux décideurs publics, aux opérateurs de télécommunications et aux citoyens.</w:t>
      </w:r>
    </w:p>
    <w:p w14:paraId="16D0B1C8" w14:textId="77777777" w:rsidR="001D5139" w:rsidRPr="00A82FB4" w:rsidRDefault="001D5139" w:rsidP="004B1FC1">
      <w:pPr>
        <w:numPr>
          <w:ilvl w:val="0"/>
          <w:numId w:val="1"/>
        </w:numPr>
        <w:spacing w:after="0" w:line="240" w:lineRule="auto"/>
        <w:ind w:left="714" w:hanging="357"/>
        <w:jc w:val="both"/>
        <w:rPr>
          <w:lang w:val="fr-FR"/>
        </w:rPr>
      </w:pPr>
      <w:r w:rsidRPr="00A82FB4">
        <w:rPr>
          <w:lang w:val="fr-FR"/>
        </w:rPr>
        <w:t>Identifier et cartographier de manière précise les zones non desservies ou mal desservies, en vue de prioriser les besoins d’investissement.</w:t>
      </w:r>
    </w:p>
    <w:p w14:paraId="5F40FC21" w14:textId="77777777" w:rsidR="001D5139" w:rsidRPr="00A82FB4" w:rsidRDefault="001D5139" w:rsidP="004B1FC1">
      <w:pPr>
        <w:numPr>
          <w:ilvl w:val="0"/>
          <w:numId w:val="1"/>
        </w:numPr>
        <w:spacing w:after="0" w:line="240" w:lineRule="auto"/>
        <w:ind w:left="714" w:hanging="357"/>
        <w:jc w:val="both"/>
        <w:rPr>
          <w:lang w:val="fr-FR"/>
        </w:rPr>
      </w:pPr>
      <w:r w:rsidRPr="00A82FB4">
        <w:rPr>
          <w:lang w:val="fr-FR"/>
        </w:rPr>
        <w:t>Renforcer la transparence, la concertation et la collaboration entre les parties prenantes du secteur numérique.</w:t>
      </w:r>
    </w:p>
    <w:p w14:paraId="5B1559D9" w14:textId="2929B858" w:rsidR="001D5139" w:rsidRPr="00A82FB4" w:rsidRDefault="001D5139" w:rsidP="004B1FC1">
      <w:pPr>
        <w:numPr>
          <w:ilvl w:val="0"/>
          <w:numId w:val="1"/>
        </w:numPr>
        <w:spacing w:after="0" w:line="240" w:lineRule="auto"/>
        <w:ind w:left="714" w:hanging="357"/>
        <w:jc w:val="both"/>
        <w:rPr>
          <w:lang w:val="fr-FR"/>
        </w:rPr>
      </w:pPr>
      <w:r w:rsidRPr="00A82FB4">
        <w:rPr>
          <w:lang w:val="fr-FR"/>
        </w:rPr>
        <w:t xml:space="preserve">Mettre en place un mécanisme de mise à jour régulière et participative des données </w:t>
      </w:r>
    </w:p>
    <w:p w14:paraId="4ABFFB6A" w14:textId="77777777" w:rsidR="009C0C3B" w:rsidRPr="00A82FB4" w:rsidRDefault="009C0C3B" w:rsidP="009C0C3B">
      <w:pPr>
        <w:spacing w:line="240" w:lineRule="auto"/>
        <w:rPr>
          <w:lang w:val="fr-FR"/>
        </w:rPr>
      </w:pPr>
    </w:p>
    <w:p w14:paraId="1CC5318A" w14:textId="77777777" w:rsidR="009C0C3B" w:rsidRPr="00A82FB4" w:rsidRDefault="009C0C3B" w:rsidP="009C0C3B">
      <w:pPr>
        <w:spacing w:line="240" w:lineRule="auto"/>
        <w:rPr>
          <w:lang w:val="fr-FR"/>
        </w:rPr>
      </w:pPr>
    </w:p>
    <w:p w14:paraId="6CE1C7B9" w14:textId="45B921DA" w:rsidR="001D5139" w:rsidRPr="00A82FB4" w:rsidRDefault="000A3FA5" w:rsidP="007C67DE">
      <w:pPr>
        <w:pStyle w:val="Paragraphedeliste"/>
        <w:numPr>
          <w:ilvl w:val="0"/>
          <w:numId w:val="2"/>
        </w:numPr>
        <w:spacing w:line="240" w:lineRule="auto"/>
        <w:jc w:val="both"/>
        <w:rPr>
          <w:rFonts w:ascii="Calibri" w:hAnsi="Calibri" w:cs="Calibri"/>
          <w:b/>
          <w:bCs/>
          <w:lang w:val="fr-FR"/>
        </w:rPr>
      </w:pPr>
      <w:r w:rsidRPr="00A82FB4">
        <w:rPr>
          <w:rFonts w:ascii="Calibri" w:hAnsi="Calibri" w:cs="Calibri"/>
          <w:b/>
          <w:bCs/>
          <w:lang w:val="fr-FR"/>
        </w:rPr>
        <w:t xml:space="preserve">Agenda </w:t>
      </w:r>
    </w:p>
    <w:p w14:paraId="18A51696" w14:textId="77777777" w:rsidR="00172FFB" w:rsidRPr="00A82FB4" w:rsidRDefault="00172FFB" w:rsidP="009C0C3B">
      <w:pPr>
        <w:spacing w:line="240" w:lineRule="auto"/>
        <w:rPr>
          <w:lang w:val="fr-FR"/>
        </w:rPr>
      </w:pPr>
    </w:p>
    <w:p w14:paraId="2CF5026D" w14:textId="7D0CE67E" w:rsidR="00AA5992" w:rsidRPr="00A82FB4" w:rsidRDefault="00AA5992" w:rsidP="004B1FC1">
      <w:pPr>
        <w:spacing w:line="240" w:lineRule="auto"/>
        <w:jc w:val="both"/>
        <w:rPr>
          <w:lang w:val="fr-FR"/>
        </w:rPr>
      </w:pPr>
      <w:r w:rsidRPr="00A82FB4">
        <w:rPr>
          <w:b/>
          <w:bCs/>
          <w:lang w:val="fr-FR"/>
        </w:rPr>
        <w:t>Jour 1 : Introduction et principes fondamentaux de l'analyse géospatiale avec discussion</w:t>
      </w:r>
      <w:r w:rsidR="6ACB6527" w:rsidRPr="00A82FB4">
        <w:rPr>
          <w:b/>
          <w:bCs/>
          <w:lang w:val="fr-FR"/>
        </w:rPr>
        <w:t>s</w:t>
      </w:r>
      <w:r w:rsidRPr="00A82FB4">
        <w:rPr>
          <w:b/>
          <w:bCs/>
          <w:lang w:val="fr-FR"/>
        </w:rPr>
        <w:t xml:space="preserve"> autour des données existantes dans les </w:t>
      </w:r>
      <w:r w:rsidR="028F8E8F" w:rsidRPr="00A82FB4">
        <w:rPr>
          <w:b/>
          <w:bCs/>
          <w:lang w:val="fr-FR"/>
        </w:rPr>
        <w:t xml:space="preserve">Etats </w:t>
      </w:r>
      <w:r w:rsidR="6D0CCFDD" w:rsidRPr="00A82FB4">
        <w:rPr>
          <w:b/>
          <w:bCs/>
          <w:lang w:val="fr-FR"/>
        </w:rPr>
        <w:t>membres de l’</w:t>
      </w:r>
      <w:r w:rsidRPr="00A82FB4">
        <w:rPr>
          <w:b/>
          <w:bCs/>
          <w:lang w:val="fr-FR"/>
        </w:rPr>
        <w:t>ARTAC</w:t>
      </w:r>
    </w:p>
    <w:p w14:paraId="4E6AE098" w14:textId="77777777" w:rsidR="00AA5992" w:rsidRPr="00A82FB4" w:rsidRDefault="00AA5992" w:rsidP="004B1FC1">
      <w:pPr>
        <w:pStyle w:val="Paragraphedeliste"/>
        <w:numPr>
          <w:ilvl w:val="0"/>
          <w:numId w:val="16"/>
        </w:numPr>
        <w:spacing w:line="240" w:lineRule="auto"/>
        <w:jc w:val="both"/>
        <w:rPr>
          <w:lang w:val="fr-FR"/>
        </w:rPr>
      </w:pPr>
      <w:r w:rsidRPr="00A82FB4">
        <w:rPr>
          <w:lang w:val="fr-FR"/>
        </w:rPr>
        <w:t>Introduction et contexte de la collaboration UIT-ARTAC</w:t>
      </w:r>
    </w:p>
    <w:p w14:paraId="75370E9E" w14:textId="042F9A1F" w:rsidR="00AA5992" w:rsidRPr="00A82FB4" w:rsidRDefault="00AA5992" w:rsidP="004B1FC1">
      <w:pPr>
        <w:pStyle w:val="Paragraphedeliste"/>
        <w:numPr>
          <w:ilvl w:val="0"/>
          <w:numId w:val="16"/>
        </w:numPr>
        <w:spacing w:line="240" w:lineRule="auto"/>
        <w:jc w:val="both"/>
        <w:rPr>
          <w:lang w:val="fr-FR"/>
        </w:rPr>
      </w:pPr>
      <w:r w:rsidRPr="00A82FB4">
        <w:rPr>
          <w:lang w:val="fr-FR"/>
        </w:rPr>
        <w:t xml:space="preserve">Planification des activités de </w:t>
      </w:r>
      <w:r w:rsidR="4598A020" w:rsidRPr="00A82FB4">
        <w:rPr>
          <w:lang w:val="fr-FR"/>
        </w:rPr>
        <w:t xml:space="preserve">déploiement des </w:t>
      </w:r>
      <w:r w:rsidRPr="00A82FB4">
        <w:rPr>
          <w:lang w:val="fr-FR"/>
        </w:rPr>
        <w:t>infrastructure</w:t>
      </w:r>
      <w:r w:rsidR="65DBFCE5" w:rsidRPr="00A82FB4">
        <w:rPr>
          <w:lang w:val="fr-FR"/>
        </w:rPr>
        <w:t>s</w:t>
      </w:r>
      <w:r w:rsidRPr="00A82FB4">
        <w:rPr>
          <w:lang w:val="fr-FR"/>
        </w:rPr>
        <w:t xml:space="preserve"> TIC </w:t>
      </w:r>
    </w:p>
    <w:p w14:paraId="5C38B6B6" w14:textId="2DA55E55" w:rsidR="00AA5992" w:rsidRPr="00A82FB4" w:rsidRDefault="00AA5992" w:rsidP="004B1FC1">
      <w:pPr>
        <w:pStyle w:val="Paragraphedeliste"/>
        <w:numPr>
          <w:ilvl w:val="0"/>
          <w:numId w:val="16"/>
        </w:numPr>
        <w:spacing w:line="240" w:lineRule="auto"/>
        <w:jc w:val="both"/>
        <w:rPr>
          <w:lang w:val="fr-FR"/>
        </w:rPr>
      </w:pPr>
      <w:r w:rsidRPr="00A82FB4">
        <w:rPr>
          <w:lang w:val="fr-FR"/>
        </w:rPr>
        <w:t>Types de données géospatiales,</w:t>
      </w:r>
      <w:r w:rsidRPr="00A82FB4">
        <w:rPr>
          <w:rFonts w:ascii="Segoe UI Emoji" w:hAnsi="Segoe UI Emoji" w:cs="Segoe UI Emoji"/>
          <w:lang w:val="fr-FR"/>
        </w:rPr>
        <w:t xml:space="preserve"> </w:t>
      </w:r>
      <w:r w:rsidRPr="00A82FB4">
        <w:rPr>
          <w:lang w:val="fr-FR"/>
        </w:rPr>
        <w:t xml:space="preserve">projections et systèmes de coordonnées </w:t>
      </w:r>
    </w:p>
    <w:p w14:paraId="06C652F1" w14:textId="77777777" w:rsidR="00AA5992" w:rsidRPr="00A82FB4" w:rsidRDefault="00AA5992" w:rsidP="004B1FC1">
      <w:pPr>
        <w:pStyle w:val="Paragraphedeliste"/>
        <w:numPr>
          <w:ilvl w:val="0"/>
          <w:numId w:val="16"/>
        </w:numPr>
        <w:spacing w:line="240" w:lineRule="auto"/>
        <w:jc w:val="both"/>
        <w:rPr>
          <w:lang w:val="fr-FR"/>
        </w:rPr>
      </w:pPr>
      <w:r w:rsidRPr="00A82FB4">
        <w:rPr>
          <w:lang w:val="fr-FR"/>
        </w:rPr>
        <w:t xml:space="preserve">Télécommunications, données ouvertes et collecte de données ouvertes </w:t>
      </w:r>
    </w:p>
    <w:p w14:paraId="01688D78" w14:textId="77777777" w:rsidR="00AA5992" w:rsidRPr="00A82FB4" w:rsidRDefault="00AA5992" w:rsidP="004B1FC1">
      <w:pPr>
        <w:pStyle w:val="Paragraphedeliste"/>
        <w:numPr>
          <w:ilvl w:val="0"/>
          <w:numId w:val="16"/>
        </w:numPr>
        <w:spacing w:line="240" w:lineRule="auto"/>
        <w:jc w:val="both"/>
        <w:rPr>
          <w:lang w:val="fr-FR"/>
        </w:rPr>
      </w:pPr>
      <w:r w:rsidRPr="00A82FB4">
        <w:rPr>
          <w:lang w:val="fr-FR"/>
        </w:rPr>
        <w:t xml:space="preserve">Standardisation des données </w:t>
      </w:r>
    </w:p>
    <w:p w14:paraId="2307E4A0" w14:textId="77777777" w:rsidR="00AA5992" w:rsidRPr="00A82FB4" w:rsidRDefault="00AA5992" w:rsidP="004B1FC1">
      <w:pPr>
        <w:pStyle w:val="Paragraphedeliste"/>
        <w:numPr>
          <w:ilvl w:val="0"/>
          <w:numId w:val="16"/>
        </w:numPr>
        <w:spacing w:line="240" w:lineRule="auto"/>
        <w:jc w:val="both"/>
        <w:rPr>
          <w:lang w:val="fr-FR"/>
        </w:rPr>
      </w:pPr>
      <w:r w:rsidRPr="00A82FB4">
        <w:rPr>
          <w:lang w:val="fr-FR"/>
        </w:rPr>
        <w:t xml:space="preserve">Analyse de proximité </w:t>
      </w:r>
      <w:r w:rsidRPr="00A82FB4">
        <w:rPr>
          <w:rFonts w:ascii="Segoe UI Emoji" w:hAnsi="Segoe UI Emoji" w:cs="Segoe UI Emoji"/>
          <w:lang w:val="fr-FR"/>
        </w:rPr>
        <w:t xml:space="preserve">et </w:t>
      </w:r>
      <w:r w:rsidRPr="00A82FB4">
        <w:rPr>
          <w:lang w:val="fr-FR"/>
        </w:rPr>
        <w:t xml:space="preserve">analyse de couverture </w:t>
      </w:r>
    </w:p>
    <w:p w14:paraId="00DA922A" w14:textId="77777777" w:rsidR="00AA5992" w:rsidRPr="00A82FB4" w:rsidRDefault="00AA5992" w:rsidP="004B1FC1">
      <w:pPr>
        <w:pStyle w:val="Paragraphedeliste"/>
        <w:numPr>
          <w:ilvl w:val="0"/>
          <w:numId w:val="16"/>
        </w:numPr>
        <w:spacing w:line="240" w:lineRule="auto"/>
        <w:jc w:val="both"/>
        <w:rPr>
          <w:lang w:val="fr-FR"/>
        </w:rPr>
      </w:pPr>
      <w:r w:rsidRPr="00A82FB4">
        <w:rPr>
          <w:lang w:val="fr-FR"/>
        </w:rPr>
        <w:t>Discussion et partage sur les données d'infrastructure, résultats de la recherche documentaire dans les États membres de l'ARTAC</w:t>
      </w:r>
    </w:p>
    <w:p w14:paraId="18E9D94C" w14:textId="77777777" w:rsidR="00AA5992" w:rsidRPr="00A82FB4" w:rsidRDefault="00AA5992" w:rsidP="004B1FC1">
      <w:pPr>
        <w:pStyle w:val="Paragraphedeliste"/>
        <w:spacing w:line="240" w:lineRule="auto"/>
        <w:ind w:left="1440"/>
        <w:jc w:val="both"/>
        <w:rPr>
          <w:lang w:val="fr-FR"/>
        </w:rPr>
      </w:pPr>
    </w:p>
    <w:p w14:paraId="4E4FCE2E" w14:textId="77777777" w:rsidR="004E0308" w:rsidRPr="00A82FB4" w:rsidRDefault="004E0308" w:rsidP="004B1FC1">
      <w:pPr>
        <w:spacing w:line="240" w:lineRule="auto"/>
        <w:jc w:val="both"/>
        <w:rPr>
          <w:b/>
          <w:bCs/>
          <w:lang w:val="fr-FR"/>
        </w:rPr>
      </w:pPr>
      <w:r w:rsidRPr="00A82FB4">
        <w:rPr>
          <w:b/>
          <w:bCs/>
          <w:lang w:val="fr-FR"/>
        </w:rPr>
        <w:t xml:space="preserve">Jour 2 : Applications avancées et planification d'entreprise </w:t>
      </w:r>
    </w:p>
    <w:p w14:paraId="66A5A8B4" w14:textId="505EEFAC" w:rsidR="004E0308" w:rsidRPr="00A82FB4" w:rsidRDefault="004E0308" w:rsidP="004B1FC1">
      <w:pPr>
        <w:pStyle w:val="Paragraphedeliste"/>
        <w:numPr>
          <w:ilvl w:val="0"/>
          <w:numId w:val="17"/>
        </w:numPr>
        <w:spacing w:line="240" w:lineRule="auto"/>
        <w:jc w:val="both"/>
        <w:rPr>
          <w:lang w:val="fr-FR"/>
        </w:rPr>
      </w:pPr>
      <w:r w:rsidRPr="00A82FB4">
        <w:rPr>
          <w:lang w:val="fr-FR"/>
        </w:rPr>
        <w:t xml:space="preserve">Analyse de la demande, analyse de la visibilité, analyse des chemins de fibre et analyse des coûts pour concevoir des réseaux de fibre efficaces en exploitant l'infrastructure existante et en optimisant les </w:t>
      </w:r>
      <w:r w:rsidR="009B2A60" w:rsidRPr="00A82FB4">
        <w:rPr>
          <w:lang w:val="fr-FR"/>
        </w:rPr>
        <w:t>tronçons pour</w:t>
      </w:r>
      <w:r w:rsidRPr="00A82FB4">
        <w:rPr>
          <w:lang w:val="fr-FR"/>
        </w:rPr>
        <w:t xml:space="preserve"> en assurer la rentabilité</w:t>
      </w:r>
    </w:p>
    <w:p w14:paraId="7C45F41A" w14:textId="127F1DA2" w:rsidR="004E0308" w:rsidRPr="00A82FB4" w:rsidRDefault="004E0308" w:rsidP="004B1FC1">
      <w:pPr>
        <w:pStyle w:val="Paragraphedeliste"/>
        <w:numPr>
          <w:ilvl w:val="0"/>
          <w:numId w:val="17"/>
        </w:numPr>
        <w:spacing w:line="240" w:lineRule="auto"/>
        <w:jc w:val="both"/>
        <w:rPr>
          <w:lang w:val="fr-FR"/>
        </w:rPr>
      </w:pPr>
      <w:r w:rsidRPr="00A82FB4">
        <w:rPr>
          <w:lang w:val="fr-FR"/>
        </w:rPr>
        <w:t>Vue d'ensemble des outils existants et de leur</w:t>
      </w:r>
      <w:r w:rsidR="14B29A97" w:rsidRPr="00A82FB4">
        <w:rPr>
          <w:lang w:val="fr-FR"/>
        </w:rPr>
        <w:t>s</w:t>
      </w:r>
      <w:r w:rsidRPr="00A82FB4">
        <w:rPr>
          <w:lang w:val="fr-FR"/>
        </w:rPr>
        <w:t xml:space="preserve"> application</w:t>
      </w:r>
      <w:r w:rsidR="413F6B39" w:rsidRPr="00A82FB4">
        <w:rPr>
          <w:lang w:val="fr-FR"/>
        </w:rPr>
        <w:t>s</w:t>
      </w:r>
      <w:r w:rsidRPr="00A82FB4">
        <w:rPr>
          <w:lang w:val="fr-FR"/>
        </w:rPr>
        <w:t>, y compris les outils de visualisation open source</w:t>
      </w:r>
    </w:p>
    <w:p w14:paraId="22B28D2C" w14:textId="77777777" w:rsidR="004E0308" w:rsidRPr="00A82FB4" w:rsidRDefault="004E0308" w:rsidP="004B1FC1">
      <w:pPr>
        <w:pStyle w:val="Paragraphedeliste"/>
        <w:numPr>
          <w:ilvl w:val="0"/>
          <w:numId w:val="17"/>
        </w:numPr>
        <w:spacing w:line="240" w:lineRule="auto"/>
        <w:jc w:val="both"/>
        <w:rPr>
          <w:lang w:val="fr-FR"/>
        </w:rPr>
      </w:pPr>
      <w:r w:rsidRPr="00A82FB4">
        <w:rPr>
          <w:lang w:val="fr-FR"/>
        </w:rPr>
        <w:t xml:space="preserve">Aperçu et facilité d'utilisation de la plate-forme de planification de la connectivité (CPP) pour les États membres de l'ARTAC </w:t>
      </w:r>
    </w:p>
    <w:p w14:paraId="36DE910D" w14:textId="27E09A63" w:rsidR="004E0308" w:rsidRPr="00A82FB4" w:rsidRDefault="67EF7068" w:rsidP="004B1FC1">
      <w:pPr>
        <w:pStyle w:val="Paragraphedeliste"/>
        <w:numPr>
          <w:ilvl w:val="0"/>
          <w:numId w:val="17"/>
        </w:numPr>
        <w:spacing w:line="240" w:lineRule="auto"/>
        <w:jc w:val="both"/>
        <w:rPr>
          <w:lang w:val="fr-FR"/>
        </w:rPr>
      </w:pPr>
      <w:r w:rsidRPr="00A82FB4">
        <w:rPr>
          <w:lang w:val="fr-FR"/>
        </w:rPr>
        <w:t xml:space="preserve">Echanges et partages de </w:t>
      </w:r>
      <w:r w:rsidR="009B2A60" w:rsidRPr="00A82FB4">
        <w:rPr>
          <w:lang w:val="fr-FR"/>
        </w:rPr>
        <w:t>vues sur</w:t>
      </w:r>
      <w:r w:rsidR="004E0308" w:rsidRPr="00A82FB4">
        <w:rPr>
          <w:lang w:val="fr-FR"/>
        </w:rPr>
        <w:t xml:space="preserve"> les prochaines étapes</w:t>
      </w:r>
    </w:p>
    <w:p w14:paraId="7CED8700" w14:textId="0F707608" w:rsidR="005D2260" w:rsidRPr="00A82FB4" w:rsidRDefault="005D2260">
      <w:pPr>
        <w:rPr>
          <w:rFonts w:ascii="Calibri" w:eastAsia="Calibri" w:hAnsi="Calibri" w:cs="Calibri"/>
          <w:b/>
          <w:bCs/>
          <w:lang w:val="fr-FR"/>
        </w:rPr>
      </w:pPr>
      <w:r w:rsidRPr="00A82FB4">
        <w:rPr>
          <w:rFonts w:ascii="Calibri" w:eastAsia="Calibri" w:hAnsi="Calibri" w:cs="Calibri"/>
          <w:b/>
          <w:bCs/>
          <w:lang w:val="fr-FR"/>
        </w:rPr>
        <w:br w:type="page"/>
      </w:r>
    </w:p>
    <w:p w14:paraId="2D8C4A2A" w14:textId="77777777" w:rsidR="00F45037" w:rsidRPr="00A82FB4" w:rsidRDefault="00F45037" w:rsidP="00F45037">
      <w:pPr>
        <w:pStyle w:val="Paragraphedeliste"/>
        <w:numPr>
          <w:ilvl w:val="0"/>
          <w:numId w:val="2"/>
        </w:numPr>
        <w:spacing w:line="240" w:lineRule="auto"/>
        <w:jc w:val="both"/>
        <w:rPr>
          <w:rFonts w:ascii="Calibri" w:hAnsi="Calibri" w:cs="Calibri"/>
          <w:b/>
          <w:bCs/>
          <w:lang w:val="fr-FR"/>
        </w:rPr>
      </w:pPr>
      <w:r w:rsidRPr="00A82FB4">
        <w:rPr>
          <w:rFonts w:ascii="Calibri" w:hAnsi="Calibri" w:cs="Calibri"/>
          <w:b/>
          <w:bCs/>
          <w:lang w:val="fr-FR"/>
        </w:rPr>
        <w:lastRenderedPageBreak/>
        <w:t>Exigences techniques de formation</w:t>
      </w:r>
    </w:p>
    <w:p w14:paraId="14101D7E" w14:textId="278B59EA" w:rsidR="57B669AE" w:rsidRPr="00A82FB4" w:rsidRDefault="57B669AE" w:rsidP="57B669AE">
      <w:pPr>
        <w:spacing w:line="240" w:lineRule="auto"/>
        <w:jc w:val="center"/>
        <w:rPr>
          <w:rFonts w:ascii="Calibri" w:eastAsia="Calibri" w:hAnsi="Calibri" w:cs="Calibri"/>
          <w:lang w:val="fr-FR"/>
        </w:rPr>
      </w:pPr>
    </w:p>
    <w:p w14:paraId="3A7DD350" w14:textId="36A61303" w:rsidR="00CB768C" w:rsidRPr="00C55983" w:rsidRDefault="00CB768C" w:rsidP="00BE2280">
      <w:pPr>
        <w:spacing w:after="0" w:line="240" w:lineRule="auto"/>
        <w:rPr>
          <w:rFonts w:ascii="Calibri" w:eastAsia="Calibri" w:hAnsi="Calibri" w:cs="Calibri"/>
          <w:lang w:val="fr-FR"/>
        </w:rPr>
      </w:pPr>
      <w:r w:rsidRPr="00C55983">
        <w:rPr>
          <w:rFonts w:ascii="Calibri" w:eastAsia="Calibri" w:hAnsi="Calibri" w:cs="Calibri"/>
          <w:b/>
          <w:lang w:val="fr-FR"/>
        </w:rPr>
        <w:t xml:space="preserve">Exigences du lieu pour la formation pratique (hors ligne) : </w:t>
      </w:r>
    </w:p>
    <w:p w14:paraId="1923D55B" w14:textId="2F08D529" w:rsidR="57B669AE" w:rsidRPr="00A82FB4" w:rsidRDefault="57B669AE" w:rsidP="005D2260">
      <w:pPr>
        <w:spacing w:after="0" w:line="240" w:lineRule="auto"/>
        <w:rPr>
          <w:rFonts w:ascii="Calibri" w:eastAsia="Calibri" w:hAnsi="Calibri" w:cs="Calibri"/>
          <w:lang w:val="fr-FR"/>
        </w:rPr>
      </w:pPr>
    </w:p>
    <w:p w14:paraId="49600F8C" w14:textId="77777777" w:rsidR="00CE2233" w:rsidRPr="00A82FB4" w:rsidRDefault="00CE2233" w:rsidP="00CE2233">
      <w:pPr>
        <w:pStyle w:val="Paragraphedeliste"/>
        <w:numPr>
          <w:ilvl w:val="0"/>
          <w:numId w:val="20"/>
        </w:numPr>
        <w:spacing w:after="0" w:line="240" w:lineRule="auto"/>
        <w:rPr>
          <w:rFonts w:ascii="Calibri" w:eastAsia="Calibri" w:hAnsi="Calibri" w:cs="Calibri"/>
          <w:lang w:val="fr-FR"/>
        </w:rPr>
      </w:pPr>
      <w:r w:rsidRPr="00A82FB4">
        <w:rPr>
          <w:rFonts w:ascii="Calibri" w:eastAsia="Calibri" w:hAnsi="Calibri" w:cs="Calibri"/>
          <w:lang w:val="fr-FR"/>
        </w:rPr>
        <w:t>Un laboratoire informatique avec un accès Internet et un projecteur.</w:t>
      </w:r>
    </w:p>
    <w:p w14:paraId="054137AB" w14:textId="77777777" w:rsidR="00CE2233" w:rsidRPr="00A82FB4" w:rsidRDefault="00CE2233" w:rsidP="00CE2233">
      <w:pPr>
        <w:pStyle w:val="Paragraphedeliste"/>
        <w:numPr>
          <w:ilvl w:val="0"/>
          <w:numId w:val="20"/>
        </w:numPr>
        <w:spacing w:after="0" w:line="240" w:lineRule="auto"/>
        <w:rPr>
          <w:rFonts w:ascii="Calibri" w:eastAsia="Calibri" w:hAnsi="Calibri" w:cs="Calibri"/>
          <w:lang w:val="fr-FR"/>
        </w:rPr>
      </w:pPr>
      <w:r w:rsidRPr="00A82FB4">
        <w:rPr>
          <w:rFonts w:ascii="Calibri" w:eastAsia="Calibri" w:hAnsi="Calibri" w:cs="Calibri"/>
          <w:lang w:val="fr-FR"/>
        </w:rPr>
        <w:t>Microphones et système audio (haut-parleurs).</w:t>
      </w:r>
    </w:p>
    <w:p w14:paraId="32014B60" w14:textId="77777777" w:rsidR="00CE2233" w:rsidRPr="00A82FB4" w:rsidRDefault="00CE2233" w:rsidP="00CE2233">
      <w:pPr>
        <w:pStyle w:val="Paragraphedeliste"/>
        <w:numPr>
          <w:ilvl w:val="0"/>
          <w:numId w:val="20"/>
        </w:numPr>
        <w:spacing w:after="0" w:line="240" w:lineRule="auto"/>
        <w:jc w:val="both"/>
        <w:rPr>
          <w:rFonts w:ascii="Calibri" w:eastAsia="Calibri" w:hAnsi="Calibri" w:cs="Calibri"/>
          <w:lang w:val="fr-FR"/>
        </w:rPr>
      </w:pPr>
      <w:r w:rsidRPr="00A82FB4">
        <w:rPr>
          <w:rFonts w:ascii="Calibri" w:eastAsia="Calibri" w:hAnsi="Calibri" w:cs="Calibri"/>
          <w:lang w:val="fr-FR"/>
        </w:rPr>
        <w:t>Connexion Internet stable et ininterrompue pour tous les participants.</w:t>
      </w:r>
    </w:p>
    <w:p w14:paraId="76B57AD0" w14:textId="77777777" w:rsidR="00CE2233" w:rsidRPr="00A82FB4" w:rsidRDefault="00CE2233" w:rsidP="00CE2233">
      <w:pPr>
        <w:pStyle w:val="Paragraphedeliste"/>
        <w:numPr>
          <w:ilvl w:val="0"/>
          <w:numId w:val="20"/>
        </w:numPr>
        <w:spacing w:after="0" w:line="240" w:lineRule="auto"/>
        <w:jc w:val="both"/>
        <w:rPr>
          <w:rFonts w:ascii="Calibri" w:eastAsia="Calibri" w:hAnsi="Calibri" w:cs="Calibri"/>
          <w:i/>
          <w:iCs/>
          <w:lang w:val="fr-FR"/>
        </w:rPr>
      </w:pPr>
      <w:r w:rsidRPr="00A82FB4">
        <w:rPr>
          <w:rFonts w:ascii="Calibri" w:eastAsia="Calibri" w:hAnsi="Calibri" w:cs="Calibri"/>
          <w:i/>
          <w:iCs/>
          <w:lang w:val="fr-FR"/>
        </w:rPr>
        <w:t xml:space="preserve">Possibilité pour les participants hors ligne de se connecter à Internet à l'aide de leurs appareils portables (ordinateurs portables et smartphones). </w:t>
      </w:r>
    </w:p>
    <w:p w14:paraId="2B356EB5" w14:textId="77777777" w:rsidR="00CE2233" w:rsidRPr="00A82FB4" w:rsidRDefault="00CE2233" w:rsidP="00CE2233">
      <w:pPr>
        <w:pStyle w:val="Paragraphedeliste"/>
        <w:numPr>
          <w:ilvl w:val="0"/>
          <w:numId w:val="20"/>
        </w:numPr>
        <w:spacing w:after="0" w:line="240" w:lineRule="auto"/>
        <w:jc w:val="both"/>
        <w:rPr>
          <w:rFonts w:ascii="Calibri" w:eastAsia="Calibri" w:hAnsi="Calibri" w:cs="Calibri"/>
          <w:i/>
          <w:iCs/>
          <w:lang w:val="fr-FR"/>
        </w:rPr>
      </w:pPr>
      <w:r w:rsidRPr="00A82FB4">
        <w:rPr>
          <w:rFonts w:ascii="Calibri" w:eastAsia="Calibri" w:hAnsi="Calibri" w:cs="Calibri"/>
          <w:i/>
          <w:iCs/>
          <w:lang w:val="fr-FR"/>
        </w:rPr>
        <w:t>Possibilité pour les participants en ligne de suivre la formation.</w:t>
      </w:r>
    </w:p>
    <w:p w14:paraId="3BE4D405" w14:textId="77777777" w:rsidR="00CE2233" w:rsidRPr="00A82FB4" w:rsidRDefault="00CE2233" w:rsidP="00CE2233">
      <w:pPr>
        <w:pStyle w:val="Paragraphedeliste"/>
        <w:numPr>
          <w:ilvl w:val="0"/>
          <w:numId w:val="20"/>
        </w:numPr>
        <w:spacing w:after="0" w:line="240" w:lineRule="auto"/>
        <w:jc w:val="both"/>
        <w:rPr>
          <w:rFonts w:ascii="Calibri" w:eastAsia="Calibri" w:hAnsi="Calibri" w:cs="Calibri"/>
          <w:lang w:val="fr-FR"/>
        </w:rPr>
      </w:pPr>
      <w:r w:rsidRPr="00A82FB4">
        <w:rPr>
          <w:rFonts w:ascii="Calibri" w:eastAsia="Calibri" w:hAnsi="Calibri" w:cs="Calibri"/>
          <w:lang w:val="fr-FR"/>
        </w:rPr>
        <w:t>Possibilité pour les intervenants en ligne d'animer la formation pendant leurs sessions.</w:t>
      </w:r>
    </w:p>
    <w:p w14:paraId="24CC5249" w14:textId="638ECCA3" w:rsidR="57B669AE" w:rsidRPr="00A82FB4" w:rsidRDefault="57B669AE" w:rsidP="00C77573">
      <w:pPr>
        <w:spacing w:after="0" w:line="240" w:lineRule="auto"/>
        <w:rPr>
          <w:rFonts w:ascii="Calibri" w:eastAsia="Calibri" w:hAnsi="Calibri" w:cs="Calibri"/>
          <w:lang w:val="fr-FR"/>
        </w:rPr>
      </w:pPr>
    </w:p>
    <w:p w14:paraId="65A6C83E" w14:textId="77777777" w:rsidR="007F3227" w:rsidRPr="00A82FB4" w:rsidRDefault="007F3227" w:rsidP="00D27854">
      <w:pPr>
        <w:spacing w:after="0" w:line="240" w:lineRule="auto"/>
        <w:rPr>
          <w:rFonts w:ascii="Calibri" w:eastAsia="Calibri" w:hAnsi="Calibri" w:cs="Calibri"/>
          <w:lang w:val="fr-FR"/>
        </w:rPr>
      </w:pPr>
      <w:r w:rsidRPr="00A82FB4">
        <w:rPr>
          <w:rFonts w:ascii="Calibri" w:eastAsia="Calibri" w:hAnsi="Calibri" w:cs="Calibri"/>
          <w:b/>
          <w:bCs/>
          <w:lang w:val="fr-FR"/>
        </w:rPr>
        <w:t>Exigences logicielles et matérielles pour la pratique de la cartographie et de l'analyse SIG :</w:t>
      </w:r>
    </w:p>
    <w:p w14:paraId="3629666F" w14:textId="2B797F05" w:rsidR="57B669AE" w:rsidRPr="00A82FB4" w:rsidRDefault="57B669AE" w:rsidP="00C77573">
      <w:pPr>
        <w:spacing w:after="0" w:line="240" w:lineRule="auto"/>
        <w:rPr>
          <w:rFonts w:ascii="Calibri" w:eastAsia="Calibri" w:hAnsi="Calibri" w:cs="Calibri"/>
          <w:lang w:val="fr-FR"/>
        </w:rPr>
      </w:pPr>
    </w:p>
    <w:p w14:paraId="22E4F683" w14:textId="2DB00E15" w:rsidR="00497C63" w:rsidRPr="00A82FB4" w:rsidRDefault="00386543" w:rsidP="0035660F">
      <w:pPr>
        <w:spacing w:after="0" w:line="240" w:lineRule="auto"/>
        <w:rPr>
          <w:rFonts w:ascii="Calibri" w:eastAsia="Calibri" w:hAnsi="Calibri" w:cs="Calibri"/>
          <w:lang w:val="fr-FR"/>
        </w:rPr>
      </w:pPr>
      <w:r w:rsidRPr="00A82FB4">
        <w:rPr>
          <w:rFonts w:ascii="Calibri" w:eastAsia="Calibri" w:hAnsi="Calibri" w:cs="Calibri"/>
          <w:lang w:val="fr-FR"/>
        </w:rPr>
        <w:t>Logiciel :</w:t>
      </w:r>
    </w:p>
    <w:p w14:paraId="44D1CD71" w14:textId="0E6E85F7" w:rsidR="00497C63" w:rsidRPr="00A82FB4" w:rsidRDefault="00497C63" w:rsidP="00A77175">
      <w:pPr>
        <w:pStyle w:val="Paragraphedeliste"/>
        <w:numPr>
          <w:ilvl w:val="0"/>
          <w:numId w:val="21"/>
        </w:numPr>
        <w:spacing w:after="0" w:line="240" w:lineRule="auto"/>
        <w:jc w:val="both"/>
        <w:rPr>
          <w:rFonts w:ascii="Calibri" w:eastAsia="Calibri" w:hAnsi="Calibri" w:cs="Calibri"/>
          <w:lang w:val="fr-FR"/>
        </w:rPr>
      </w:pPr>
      <w:r w:rsidRPr="00A82FB4">
        <w:rPr>
          <w:rFonts w:ascii="Calibri" w:eastAsia="Calibri" w:hAnsi="Calibri" w:cs="Calibri"/>
          <w:b/>
          <w:bCs/>
          <w:lang w:val="fr-FR"/>
        </w:rPr>
        <w:t>QGIS version 3.34.11 'Prizren LTR'</w:t>
      </w:r>
      <w:r w:rsidRPr="00A82FB4">
        <w:rPr>
          <w:rFonts w:ascii="Calibri" w:eastAsia="Calibri" w:hAnsi="Calibri" w:cs="Calibri"/>
          <w:lang w:val="fr-FR"/>
        </w:rPr>
        <w:t xml:space="preserve"> (version à long terme) : Pour </w:t>
      </w:r>
      <w:r w:rsidR="00A77175" w:rsidRPr="00A82FB4">
        <w:rPr>
          <w:rFonts w:ascii="Calibri" w:eastAsia="Calibri" w:hAnsi="Calibri" w:cs="Calibri"/>
          <w:lang w:val="fr-FR"/>
        </w:rPr>
        <w:t xml:space="preserve"> les systèmes d'exploitation </w:t>
      </w:r>
      <w:hyperlink r:id="rId7" w:history="1">
        <w:r w:rsidRPr="00A82FB4">
          <w:rPr>
            <w:rStyle w:val="Lienhypertexte"/>
            <w:rFonts w:ascii="Calibri" w:eastAsia="Calibri" w:hAnsi="Calibri" w:cs="Calibri"/>
            <w:lang w:val="fr-FR"/>
          </w:rPr>
          <w:t>Windows</w:t>
        </w:r>
      </w:hyperlink>
      <w:hyperlink r:id="rId8" w:history="1">
        <w:r w:rsidRPr="00A82FB4">
          <w:rPr>
            <w:rStyle w:val="Lienhypertexte"/>
            <w:rFonts w:ascii="Calibri" w:eastAsia="Calibri" w:hAnsi="Calibri" w:cs="Calibri"/>
            <w:lang w:val="fr-FR"/>
          </w:rPr>
          <w:t xml:space="preserve">, </w:t>
        </w:r>
      </w:hyperlink>
      <w:hyperlink r:id="rId9" w:history="1">
        <w:r w:rsidRPr="00A82FB4">
          <w:rPr>
            <w:rStyle w:val="Lienhypertexte"/>
            <w:rFonts w:ascii="Calibri" w:eastAsia="Calibri" w:hAnsi="Calibri" w:cs="Calibri"/>
            <w:lang w:val="fr-FR"/>
          </w:rPr>
          <w:t>Mac</w:t>
        </w:r>
      </w:hyperlink>
      <w:r w:rsidRPr="00A82FB4">
        <w:rPr>
          <w:rFonts w:ascii="Calibri" w:eastAsia="Calibri" w:hAnsi="Calibri" w:cs="Calibri"/>
          <w:lang w:val="fr-FR"/>
        </w:rPr>
        <w:t xml:space="preserve"> et Linux</w:t>
      </w:r>
    </w:p>
    <w:p w14:paraId="3FC33753" w14:textId="77777777" w:rsidR="00497C63" w:rsidRPr="00A82FB4" w:rsidRDefault="00497C63" w:rsidP="00A77175">
      <w:pPr>
        <w:pStyle w:val="Paragraphedeliste"/>
        <w:numPr>
          <w:ilvl w:val="0"/>
          <w:numId w:val="21"/>
        </w:numPr>
        <w:spacing w:after="0" w:line="240" w:lineRule="auto"/>
        <w:jc w:val="both"/>
        <w:rPr>
          <w:rFonts w:ascii="Calibri" w:eastAsia="Calibri" w:hAnsi="Calibri" w:cs="Calibri"/>
          <w:lang w:val="fr-FR"/>
        </w:rPr>
      </w:pPr>
      <w:r w:rsidRPr="00A82FB4">
        <w:rPr>
          <w:rFonts w:ascii="Calibri" w:eastAsia="Calibri" w:hAnsi="Calibri" w:cs="Calibri"/>
          <w:lang w:val="fr-FR"/>
        </w:rPr>
        <w:t>Logiciel pour lire et modifier des fichiers .xls, .xlsx .csv (par exemple, MS Excel).</w:t>
      </w:r>
    </w:p>
    <w:p w14:paraId="3F2E4BBC" w14:textId="77777777" w:rsidR="00497C63" w:rsidRPr="00A82FB4" w:rsidRDefault="00497C63" w:rsidP="00A77175">
      <w:pPr>
        <w:pStyle w:val="Paragraphedeliste"/>
        <w:numPr>
          <w:ilvl w:val="0"/>
          <w:numId w:val="21"/>
        </w:numPr>
        <w:spacing w:after="0" w:line="240" w:lineRule="auto"/>
        <w:jc w:val="both"/>
        <w:rPr>
          <w:rFonts w:ascii="Calibri" w:eastAsia="Calibri" w:hAnsi="Calibri" w:cs="Calibri"/>
          <w:lang w:val="fr-FR"/>
        </w:rPr>
      </w:pPr>
      <w:r w:rsidRPr="00A82FB4">
        <w:rPr>
          <w:rFonts w:ascii="Calibri" w:eastAsia="Calibri" w:hAnsi="Calibri" w:cs="Calibri"/>
          <w:lang w:val="fr-FR"/>
        </w:rPr>
        <w:t xml:space="preserve">Logiciels de </w:t>
      </w:r>
      <w:r w:rsidRPr="00A82FB4">
        <w:rPr>
          <w:rFonts w:ascii="Calibri" w:eastAsia="Calibri" w:hAnsi="Calibri" w:cs="Calibri"/>
          <w:b/>
          <w:bCs/>
          <w:lang w:val="fr-FR"/>
        </w:rPr>
        <w:t>navigation sur le Web</w:t>
      </w:r>
      <w:r w:rsidRPr="00A82FB4">
        <w:rPr>
          <w:rFonts w:ascii="Calibri" w:eastAsia="Calibri" w:hAnsi="Calibri" w:cs="Calibri"/>
          <w:lang w:val="fr-FR"/>
        </w:rPr>
        <w:t xml:space="preserve"> : Chrome, Firefox ou Safari</w:t>
      </w:r>
    </w:p>
    <w:p w14:paraId="23FD3CB8" w14:textId="022FC930" w:rsidR="57B669AE" w:rsidRPr="00A82FB4" w:rsidRDefault="57B669AE" w:rsidP="00C77573">
      <w:pPr>
        <w:spacing w:after="0" w:line="240" w:lineRule="auto"/>
        <w:jc w:val="both"/>
        <w:rPr>
          <w:rFonts w:ascii="Calibri" w:eastAsia="Calibri" w:hAnsi="Calibri" w:cs="Calibri"/>
          <w:lang w:val="fr-FR"/>
        </w:rPr>
      </w:pPr>
    </w:p>
    <w:p w14:paraId="5579DCC4" w14:textId="641FEBBA" w:rsidR="00EB73B1" w:rsidRPr="00A82FB4" w:rsidRDefault="00EB73B1" w:rsidP="00F77FA5">
      <w:pPr>
        <w:spacing w:after="0" w:line="240" w:lineRule="auto"/>
        <w:jc w:val="both"/>
        <w:rPr>
          <w:rFonts w:ascii="Calibri" w:eastAsia="Calibri" w:hAnsi="Calibri" w:cs="Calibri"/>
          <w:lang w:val="fr-FR"/>
        </w:rPr>
      </w:pPr>
      <w:r w:rsidRPr="00A82FB4">
        <w:rPr>
          <w:rFonts w:ascii="Calibri" w:eastAsia="Calibri" w:hAnsi="Calibri" w:cs="Calibri"/>
          <w:lang w:val="fr-FR"/>
        </w:rPr>
        <w:t>Matériel :</w:t>
      </w:r>
    </w:p>
    <w:p w14:paraId="3F172E09" w14:textId="3F1178B7" w:rsidR="00EB73B1" w:rsidRPr="00A82FB4" w:rsidRDefault="00EB73B1" w:rsidP="00CF09FB">
      <w:pPr>
        <w:pStyle w:val="Paragraphedeliste"/>
        <w:numPr>
          <w:ilvl w:val="0"/>
          <w:numId w:val="23"/>
        </w:numPr>
        <w:spacing w:after="0" w:line="240" w:lineRule="auto"/>
        <w:jc w:val="both"/>
        <w:rPr>
          <w:rFonts w:ascii="Calibri" w:eastAsia="Calibri" w:hAnsi="Calibri" w:cs="Calibri"/>
          <w:lang w:val="fr-FR"/>
        </w:rPr>
      </w:pPr>
      <w:r w:rsidRPr="00A82FB4">
        <w:rPr>
          <w:rFonts w:ascii="Calibri" w:eastAsia="Calibri" w:hAnsi="Calibri" w:cs="Calibri"/>
          <w:lang w:val="fr-FR"/>
        </w:rPr>
        <w:t xml:space="preserve">RAM - 8 Go de RAM ou plus sont recommandés pour utiliser QGIS et éviter les pannes du système. </w:t>
      </w:r>
    </w:p>
    <w:p w14:paraId="774DD925" w14:textId="1C50CF09" w:rsidR="00EB73B1" w:rsidRPr="00A82FB4" w:rsidRDefault="00EB73B1" w:rsidP="00CF09FB">
      <w:pPr>
        <w:pStyle w:val="Paragraphedeliste"/>
        <w:numPr>
          <w:ilvl w:val="0"/>
          <w:numId w:val="23"/>
        </w:numPr>
        <w:spacing w:after="0" w:line="240" w:lineRule="auto"/>
        <w:jc w:val="both"/>
        <w:rPr>
          <w:rFonts w:ascii="Calibri" w:eastAsia="Calibri" w:hAnsi="Calibri" w:cs="Calibri"/>
          <w:lang w:val="fr-FR"/>
        </w:rPr>
      </w:pPr>
      <w:r w:rsidRPr="00A82FB4">
        <w:rPr>
          <w:rFonts w:ascii="Calibri" w:eastAsia="Calibri" w:hAnsi="Calibri" w:cs="Calibri"/>
          <w:lang w:val="fr-FR"/>
        </w:rPr>
        <w:t xml:space="preserve">La vitesse du processeur -1,8 GHz est recommandée, mais pas obligatoire. QGIS peut fonctionner lentement à des niveaux inférieurs. </w:t>
      </w:r>
    </w:p>
    <w:p w14:paraId="00906465" w14:textId="63235BD7" w:rsidR="00EB73B1" w:rsidRPr="00A82FB4" w:rsidRDefault="00EB73B1" w:rsidP="00CF09FB">
      <w:pPr>
        <w:pStyle w:val="Paragraphedeliste"/>
        <w:numPr>
          <w:ilvl w:val="0"/>
          <w:numId w:val="23"/>
        </w:numPr>
        <w:spacing w:after="0" w:line="240" w:lineRule="auto"/>
        <w:jc w:val="both"/>
        <w:rPr>
          <w:rFonts w:ascii="Calibri" w:eastAsia="Calibri" w:hAnsi="Calibri" w:cs="Calibri"/>
          <w:lang w:val="fr-FR"/>
        </w:rPr>
      </w:pPr>
      <w:r w:rsidRPr="00A82FB4">
        <w:rPr>
          <w:rFonts w:ascii="Calibri" w:eastAsia="Calibri" w:hAnsi="Calibri" w:cs="Calibri"/>
          <w:lang w:val="fr-FR"/>
        </w:rPr>
        <w:t>Stockage sur disque dur - Cela dépend des ensembles de données, 1 Go suffirait dans la plupart des cas.</w:t>
      </w:r>
    </w:p>
    <w:p w14:paraId="76037E28" w14:textId="43CA6150" w:rsidR="57B669AE" w:rsidRPr="00A82FB4" w:rsidRDefault="57B669AE" w:rsidP="00C77573">
      <w:pPr>
        <w:spacing w:after="0" w:line="240" w:lineRule="auto"/>
        <w:ind w:left="720"/>
        <w:jc w:val="both"/>
        <w:rPr>
          <w:rFonts w:ascii="Calibri" w:eastAsia="Calibri" w:hAnsi="Calibri" w:cs="Calibri"/>
          <w:lang w:val="fr-FR"/>
        </w:rPr>
      </w:pPr>
    </w:p>
    <w:p w14:paraId="0739F353" w14:textId="77777777" w:rsidR="00DE5FDA" w:rsidRPr="00A82FB4" w:rsidRDefault="00DE5FDA" w:rsidP="007818A2">
      <w:pPr>
        <w:spacing w:after="0" w:line="240" w:lineRule="auto"/>
        <w:jc w:val="both"/>
        <w:rPr>
          <w:rFonts w:ascii="Calibri" w:eastAsia="Calibri" w:hAnsi="Calibri" w:cs="Calibri"/>
          <w:lang w:val="fr-FR"/>
        </w:rPr>
      </w:pPr>
      <w:r w:rsidRPr="00A82FB4">
        <w:rPr>
          <w:rFonts w:ascii="Calibri" w:eastAsia="Calibri" w:hAnsi="Calibri" w:cs="Calibri"/>
          <w:lang w:val="fr-FR"/>
        </w:rPr>
        <w:t>Comptes et informations d'identification :</w:t>
      </w:r>
    </w:p>
    <w:p w14:paraId="5538671B" w14:textId="77777777" w:rsidR="00DE5FDA" w:rsidRPr="00A82FB4" w:rsidRDefault="00DE5FDA" w:rsidP="007818A2">
      <w:pPr>
        <w:spacing w:after="0" w:line="240" w:lineRule="auto"/>
        <w:jc w:val="both"/>
        <w:rPr>
          <w:rFonts w:ascii="Calibri" w:eastAsia="Calibri" w:hAnsi="Calibri" w:cs="Calibri"/>
          <w:lang w:val="fr-FR"/>
        </w:rPr>
      </w:pPr>
    </w:p>
    <w:p w14:paraId="2BAF29E5" w14:textId="4C6E0E9F" w:rsidR="4F92B612" w:rsidRPr="00A82FB4" w:rsidRDefault="00DE5FDA" w:rsidP="00D90DD9">
      <w:pPr>
        <w:spacing w:after="0" w:line="240" w:lineRule="auto"/>
        <w:ind w:left="360"/>
        <w:jc w:val="both"/>
        <w:rPr>
          <w:rFonts w:ascii="Calibri" w:eastAsia="Calibri" w:hAnsi="Calibri" w:cs="Calibri"/>
          <w:lang w:val="fr-FR"/>
        </w:rPr>
      </w:pPr>
      <w:r w:rsidRPr="00A82FB4">
        <w:rPr>
          <w:rFonts w:ascii="Calibri" w:eastAsia="Calibri" w:hAnsi="Calibri" w:cs="Calibri"/>
          <w:lang w:val="fr-FR"/>
        </w:rPr>
        <w:t>Les utilisateurs devront disposer d'un compte Google fonctionnel (personnel ou professionnel) pour exécuter les blocs-notes Google Colab</w:t>
      </w:r>
      <w:r w:rsidR="009335BA" w:rsidRPr="00A82FB4">
        <w:rPr>
          <w:rFonts w:ascii="Calibri" w:eastAsia="Calibri" w:hAnsi="Calibri" w:cs="Calibri"/>
          <w:lang w:val="fr-FR"/>
        </w:rPr>
        <w:t xml:space="preserve">. Vous trouverez </w:t>
      </w:r>
      <w:hyperlink r:id="rId10" w:history="1">
        <w:r w:rsidR="009335BA" w:rsidRPr="00A82FB4">
          <w:rPr>
            <w:rStyle w:val="Lienhypertexte"/>
            <w:rFonts w:ascii="Calibri" w:eastAsia="Calibri" w:hAnsi="Calibri" w:cs="Calibri"/>
            <w:lang w:val="fr-FR"/>
          </w:rPr>
          <w:t>ici</w:t>
        </w:r>
      </w:hyperlink>
      <w:r w:rsidR="009335BA" w:rsidRPr="00A82FB4">
        <w:rPr>
          <w:rFonts w:ascii="Calibri" w:eastAsia="Calibri" w:hAnsi="Calibri" w:cs="Calibri"/>
          <w:lang w:val="fr-FR"/>
        </w:rPr>
        <w:t xml:space="preserve"> des instructions </w:t>
      </w:r>
      <w:hyperlink r:id="rId11" w:history="1">
        <w:r w:rsidRPr="00A82FB4">
          <w:rPr>
            <w:rStyle w:val="Lienhypertexte"/>
            <w:lang w:val="fr-FR"/>
          </w:rPr>
          <w:t>https://support.google.com/accounts/answer/27441?hl=en</w:t>
        </w:r>
      </w:hyperlink>
      <w:r w:rsidR="009335BA" w:rsidRPr="00A82FB4">
        <w:rPr>
          <w:rFonts w:ascii="Calibri" w:eastAsia="Calibri" w:hAnsi="Calibri" w:cs="Calibri"/>
          <w:lang w:val="fr-FR"/>
        </w:rPr>
        <w:t xml:space="preserve"> sur la création d'un compte Google.</w:t>
      </w:r>
      <w:r w:rsidR="4F92B612" w:rsidRPr="00A82FB4">
        <w:rPr>
          <w:rFonts w:ascii="Calibri" w:eastAsia="Calibri" w:hAnsi="Calibri" w:cs="Calibri"/>
          <w:lang w:val="fr-FR"/>
        </w:rPr>
        <w:t xml:space="preserve"> </w:t>
      </w:r>
    </w:p>
    <w:p w14:paraId="42676B79" w14:textId="4A5123F4" w:rsidR="57B669AE" w:rsidRPr="00A82FB4" w:rsidRDefault="57B669AE" w:rsidP="00C77573">
      <w:pPr>
        <w:jc w:val="both"/>
        <w:rPr>
          <w:rFonts w:ascii="Calibri" w:eastAsia="Calibri" w:hAnsi="Calibri" w:cs="Calibri"/>
          <w:lang w:val="fr-FR"/>
        </w:rPr>
      </w:pPr>
    </w:p>
    <w:p w14:paraId="31C036FB" w14:textId="4D4E2D9A" w:rsidR="00414257" w:rsidRPr="00A82FB4" w:rsidRDefault="00414257">
      <w:pPr>
        <w:rPr>
          <w:lang w:val="fr-FR"/>
        </w:rPr>
      </w:pPr>
      <w:r w:rsidRPr="00A82FB4">
        <w:rPr>
          <w:lang w:val="fr-FR"/>
        </w:rPr>
        <w:br w:type="page"/>
      </w:r>
    </w:p>
    <w:p w14:paraId="309D4F60" w14:textId="77777777" w:rsidR="008041F6" w:rsidRPr="00A82FB4" w:rsidRDefault="008041F6" w:rsidP="00F30C64">
      <w:pPr>
        <w:jc w:val="center"/>
        <w:rPr>
          <w:rFonts w:ascii="Calibri" w:hAnsi="Calibri" w:cs="Calibri"/>
          <w:b/>
          <w:bCs/>
          <w:sz w:val="28"/>
          <w:szCs w:val="28"/>
          <w:lang w:val="fr-FR"/>
        </w:rPr>
      </w:pPr>
    </w:p>
    <w:p w14:paraId="625D3EDD" w14:textId="77777777" w:rsidR="008041F6" w:rsidRPr="00A82FB4" w:rsidRDefault="008041F6" w:rsidP="008041F6">
      <w:pPr>
        <w:jc w:val="center"/>
        <w:rPr>
          <w:sz w:val="28"/>
          <w:szCs w:val="28"/>
          <w:lang w:val="fr-FR"/>
        </w:rPr>
      </w:pPr>
      <w:r w:rsidRPr="00A82FB4">
        <w:rPr>
          <w:rFonts w:ascii="Calibri" w:hAnsi="Calibri" w:cs="Calibri"/>
          <w:b/>
          <w:bCs/>
          <w:sz w:val="28"/>
          <w:szCs w:val="28"/>
          <w:lang w:val="fr-FR"/>
        </w:rPr>
        <w:t xml:space="preserve">Note Conceptuelle : </w:t>
      </w:r>
      <w:r w:rsidRPr="00A82FB4">
        <w:rPr>
          <w:i/>
          <w:iCs/>
          <w:sz w:val="28"/>
          <w:szCs w:val="28"/>
          <w:lang w:val="fr-FR"/>
        </w:rPr>
        <w:t>Clinique des services financiers numériques (SFN)</w:t>
      </w:r>
    </w:p>
    <w:p w14:paraId="32EB5CA0" w14:textId="2F684886" w:rsidR="000C5865" w:rsidRPr="00A82FB4" w:rsidRDefault="000C5865" w:rsidP="00407B97">
      <w:pPr>
        <w:jc w:val="both"/>
        <w:rPr>
          <w:rFonts w:ascii="Calibri" w:hAnsi="Calibri" w:cs="Calibri"/>
          <w:b/>
          <w:bCs/>
          <w:lang w:val="fr-FR"/>
        </w:rPr>
      </w:pPr>
      <w:r w:rsidRPr="00A82FB4">
        <w:rPr>
          <w:rFonts w:ascii="Calibri" w:hAnsi="Calibri" w:cs="Calibri"/>
          <w:b/>
          <w:bCs/>
          <w:lang w:val="fr-FR"/>
        </w:rPr>
        <w:t xml:space="preserve">Contexte et introduction : </w:t>
      </w:r>
    </w:p>
    <w:p w14:paraId="5C2370C9" w14:textId="77777777" w:rsidR="00900C23" w:rsidRPr="00A82FB4" w:rsidRDefault="00900C23" w:rsidP="00900C23">
      <w:pPr>
        <w:pStyle w:val="NormalWeb"/>
        <w:jc w:val="both"/>
        <w:rPr>
          <w:rFonts w:ascii="Calibri" w:hAnsi="Calibri" w:cs="Calibri"/>
          <w:sz w:val="22"/>
          <w:szCs w:val="22"/>
          <w:lang w:val="fr-FR"/>
        </w:rPr>
      </w:pPr>
      <w:r w:rsidRPr="00A82FB4">
        <w:rPr>
          <w:rFonts w:ascii="Calibri" w:hAnsi="Calibri" w:cs="Calibri"/>
          <w:sz w:val="22"/>
          <w:szCs w:val="22"/>
          <w:lang w:val="fr-FR"/>
        </w:rPr>
        <w:t xml:space="preserve">La croissance des services financiers numériques (SFN) à travers l'Afrique a transformé la façon dont les gens accèdent et utilisent les produits financiers, accélérant l'inclusion financière et permettant de nouvelles formes d'innovation. Cependant, cette expansion rapide a également exposé les utilisateurs, les fournisseurs et les régulateurs à un éventail croissant de risques de sécurité, allant des </w:t>
      </w:r>
      <w:r w:rsidRPr="00A82FB4">
        <w:rPr>
          <w:rStyle w:val="lev"/>
          <w:rFonts w:ascii="Calibri" w:eastAsiaTheme="majorEastAsia" w:hAnsi="Calibri" w:cs="Calibri"/>
          <w:sz w:val="22"/>
          <w:szCs w:val="22"/>
          <w:lang w:val="fr-FR"/>
        </w:rPr>
        <w:t xml:space="preserve">vulnérabilités de signalisation (par exemple, SS7) </w:t>
      </w:r>
      <w:r w:rsidRPr="00A82FB4">
        <w:rPr>
          <w:rFonts w:ascii="Calibri" w:hAnsi="Calibri" w:cs="Calibri"/>
          <w:sz w:val="22"/>
          <w:szCs w:val="22"/>
          <w:lang w:val="fr-FR"/>
        </w:rPr>
        <w:t xml:space="preserve">et de </w:t>
      </w:r>
      <w:r w:rsidRPr="00A82FB4">
        <w:rPr>
          <w:rStyle w:val="lev"/>
          <w:rFonts w:ascii="Calibri" w:eastAsiaTheme="majorEastAsia" w:hAnsi="Calibri" w:cs="Calibri"/>
          <w:sz w:val="22"/>
          <w:szCs w:val="22"/>
          <w:lang w:val="fr-FR"/>
        </w:rPr>
        <w:t xml:space="preserve">la fraude par échange de cartes SIM </w:t>
      </w:r>
      <w:r w:rsidRPr="00A82FB4">
        <w:rPr>
          <w:rFonts w:ascii="Calibri" w:hAnsi="Calibri" w:cs="Calibri"/>
          <w:sz w:val="22"/>
          <w:szCs w:val="22"/>
          <w:lang w:val="fr-FR"/>
        </w:rPr>
        <w:t xml:space="preserve">aux </w:t>
      </w:r>
      <w:r w:rsidRPr="00A82FB4">
        <w:rPr>
          <w:rStyle w:val="lev"/>
          <w:rFonts w:ascii="Calibri" w:eastAsiaTheme="majorEastAsia" w:hAnsi="Calibri" w:cs="Calibri"/>
          <w:sz w:val="22"/>
          <w:szCs w:val="22"/>
          <w:lang w:val="fr-FR"/>
        </w:rPr>
        <w:t xml:space="preserve">menaces au niveau des applications </w:t>
      </w:r>
      <w:r w:rsidRPr="00A82FB4">
        <w:rPr>
          <w:rFonts w:ascii="Calibri" w:hAnsi="Calibri" w:cs="Calibri"/>
          <w:sz w:val="22"/>
          <w:szCs w:val="22"/>
          <w:lang w:val="fr-FR"/>
        </w:rPr>
        <w:t xml:space="preserve">et </w:t>
      </w:r>
      <w:r w:rsidRPr="00A82FB4">
        <w:rPr>
          <w:rStyle w:val="lev"/>
          <w:rFonts w:ascii="Calibri" w:eastAsiaTheme="majorEastAsia" w:hAnsi="Calibri" w:cs="Calibri"/>
          <w:sz w:val="22"/>
          <w:szCs w:val="22"/>
          <w:lang w:val="fr-FR"/>
        </w:rPr>
        <w:t xml:space="preserve">aux défis de cyberrésilience </w:t>
      </w:r>
      <w:r w:rsidRPr="00A82FB4">
        <w:rPr>
          <w:rFonts w:ascii="Calibri" w:hAnsi="Calibri" w:cs="Calibri"/>
          <w:sz w:val="22"/>
          <w:szCs w:val="22"/>
          <w:lang w:val="fr-FR"/>
        </w:rPr>
        <w:t>dans les infrastructures critiques.</w:t>
      </w:r>
    </w:p>
    <w:p w14:paraId="6627228B" w14:textId="77777777" w:rsidR="0026480E" w:rsidRPr="00A82FB4" w:rsidRDefault="0026480E" w:rsidP="0026480E">
      <w:pPr>
        <w:pStyle w:val="NormalWeb"/>
        <w:jc w:val="both"/>
        <w:rPr>
          <w:rFonts w:ascii="Calibri" w:hAnsi="Calibri" w:cs="Calibri"/>
          <w:sz w:val="22"/>
          <w:szCs w:val="22"/>
          <w:lang w:val="fr-FR"/>
        </w:rPr>
      </w:pPr>
      <w:r w:rsidRPr="00A82FB4">
        <w:rPr>
          <w:rFonts w:ascii="Calibri" w:hAnsi="Calibri" w:cs="Calibri"/>
          <w:sz w:val="22"/>
          <w:szCs w:val="22"/>
          <w:lang w:val="fr-FR"/>
        </w:rPr>
        <w:t>Pour résoudre ces problèmes, l’Union</w:t>
      </w:r>
      <w:r w:rsidRPr="00A82FB4">
        <w:rPr>
          <w:rStyle w:val="lev"/>
          <w:rFonts w:ascii="Calibri" w:eastAsiaTheme="majorEastAsia" w:hAnsi="Calibri" w:cs="Calibri"/>
          <w:sz w:val="22"/>
          <w:szCs w:val="22"/>
          <w:lang w:val="fr-FR"/>
        </w:rPr>
        <w:t xml:space="preserve"> internationale des télécommunications (UIT)</w:t>
      </w:r>
      <w:r w:rsidRPr="00A82FB4">
        <w:rPr>
          <w:rFonts w:ascii="Calibri" w:hAnsi="Calibri" w:cs="Calibri"/>
          <w:sz w:val="22"/>
          <w:szCs w:val="22"/>
          <w:lang w:val="fr-FR"/>
        </w:rPr>
        <w:t xml:space="preserve"> a élaboré les recommandations de sécurité DFS et a créé le laboratoire de </w:t>
      </w:r>
      <w:r w:rsidRPr="00A82FB4">
        <w:rPr>
          <w:rStyle w:val="lev"/>
          <w:rFonts w:ascii="Calibri" w:eastAsiaTheme="majorEastAsia" w:hAnsi="Calibri" w:cs="Calibri"/>
          <w:sz w:val="22"/>
          <w:szCs w:val="22"/>
          <w:lang w:val="fr-FR"/>
        </w:rPr>
        <w:t>sécurité SFN</w:t>
      </w:r>
      <w:r w:rsidRPr="00A82FB4">
        <w:rPr>
          <w:rFonts w:ascii="Calibri" w:hAnsi="Calibri" w:cs="Calibri"/>
          <w:sz w:val="22"/>
          <w:szCs w:val="22"/>
          <w:lang w:val="fr-FR"/>
        </w:rPr>
        <w:t xml:space="preserve"> en 2020.  Le laboratoire fournit aux organismes de réglementation et aux fournisseurs de services des outils pratiques, une formation ciblée et des conseils techniques pour renforcer la confiance dans l'écosystème des SFN. Par l'intermédiaire du laboratoire de sécurité SFN, l'UIT fournit une assistance technique aux régulateurs des économies émergentes pour mettre en place leurs laboratoires de sécurité SFN et adopter les Recommandations de sécurité SFN.</w:t>
      </w:r>
    </w:p>
    <w:p w14:paraId="65968AC4" w14:textId="5F2C1E3F" w:rsidR="00130B7C" w:rsidRPr="00A82FB4" w:rsidRDefault="00130B7C" w:rsidP="009E5241">
      <w:pPr>
        <w:pStyle w:val="NormalWeb"/>
        <w:jc w:val="both"/>
        <w:rPr>
          <w:rFonts w:ascii="Calibri" w:hAnsi="Calibri" w:cs="Calibri"/>
          <w:sz w:val="22"/>
          <w:szCs w:val="22"/>
          <w:lang w:val="fr-FR"/>
        </w:rPr>
      </w:pPr>
      <w:r w:rsidRPr="00A82FB4">
        <w:rPr>
          <w:rFonts w:ascii="Calibri" w:hAnsi="Calibri" w:cs="Calibri"/>
          <w:sz w:val="22"/>
          <w:szCs w:val="22"/>
          <w:lang w:val="fr-FR"/>
        </w:rPr>
        <w:t xml:space="preserve">Les </w:t>
      </w:r>
      <w:hyperlink r:id="rId12" w:history="1">
        <w:r w:rsidRPr="00A82FB4">
          <w:rPr>
            <w:rStyle w:val="Lienhypertexte"/>
            <w:rFonts w:ascii="Calibri" w:hAnsi="Calibri" w:cs="Calibri"/>
            <w:sz w:val="22"/>
            <w:szCs w:val="22"/>
            <w:lang w:val="fr-FR"/>
          </w:rPr>
          <w:t>recommandations de sécurité SFN</w:t>
        </w:r>
      </w:hyperlink>
      <w:r w:rsidRPr="00A82FB4">
        <w:rPr>
          <w:rFonts w:ascii="Calibri" w:hAnsi="Calibri" w:cs="Calibri"/>
          <w:sz w:val="22"/>
          <w:szCs w:val="22"/>
          <w:lang w:val="fr-FR"/>
        </w:rPr>
        <w:t xml:space="preserve"> ont été adoptées en tant que normes internationales par la Commission d'études 17 de l'UIT-T sous les noms </w:t>
      </w:r>
      <w:r w:rsidRPr="00A82FB4">
        <w:rPr>
          <w:rStyle w:val="lev"/>
          <w:rFonts w:ascii="Calibri" w:eastAsiaTheme="majorEastAsia" w:hAnsi="Calibri" w:cs="Calibri"/>
          <w:sz w:val="22"/>
          <w:szCs w:val="22"/>
          <w:lang w:val="fr-FR"/>
        </w:rPr>
        <w:t xml:space="preserve">ITU-T X.1277.2 (04/2023) : Cadre de sécurité pour les services financiers numériques </w:t>
      </w:r>
      <w:r w:rsidRPr="00A82FB4">
        <w:rPr>
          <w:rFonts w:ascii="Calibri" w:hAnsi="Calibri" w:cs="Calibri"/>
          <w:sz w:val="22"/>
          <w:szCs w:val="22"/>
          <w:lang w:val="fr-FR"/>
        </w:rPr>
        <w:t xml:space="preserve">et </w:t>
      </w:r>
      <w:r w:rsidRPr="00A82FB4">
        <w:rPr>
          <w:rStyle w:val="lev"/>
          <w:rFonts w:ascii="Calibri" w:eastAsiaTheme="majorEastAsia" w:hAnsi="Calibri" w:cs="Calibri"/>
          <w:sz w:val="22"/>
          <w:szCs w:val="22"/>
          <w:lang w:val="fr-FR"/>
        </w:rPr>
        <w:t>UIT-T X.1456 : Lignes directrices pour la sécurité des services financiers numériques.</w:t>
      </w:r>
    </w:p>
    <w:p w14:paraId="0F1A5449" w14:textId="2C778831" w:rsidR="000A3DFF" w:rsidRPr="00A82FB4" w:rsidRDefault="000A3DFF" w:rsidP="000A3DFF">
      <w:pPr>
        <w:pStyle w:val="NormalWeb"/>
        <w:jc w:val="both"/>
        <w:rPr>
          <w:rFonts w:ascii="Calibri" w:hAnsi="Calibri" w:cs="Calibri"/>
          <w:sz w:val="22"/>
          <w:szCs w:val="22"/>
          <w:lang w:val="fr-FR"/>
        </w:rPr>
      </w:pPr>
      <w:r w:rsidRPr="00A82FB4">
        <w:rPr>
          <w:rFonts w:ascii="Calibri" w:hAnsi="Calibri" w:cs="Calibri"/>
          <w:sz w:val="22"/>
          <w:szCs w:val="22"/>
          <w:lang w:val="fr-FR"/>
        </w:rPr>
        <w:t xml:space="preserve">Les </w:t>
      </w:r>
      <w:r w:rsidR="00130B7C" w:rsidRPr="00A82FB4">
        <w:rPr>
          <w:rFonts w:ascii="Calibri" w:hAnsi="Calibri" w:cs="Calibri"/>
          <w:sz w:val="22"/>
          <w:szCs w:val="22"/>
          <w:lang w:val="fr-FR"/>
        </w:rPr>
        <w:t>c</w:t>
      </w:r>
      <w:r w:rsidRPr="00A82FB4">
        <w:rPr>
          <w:rFonts w:ascii="Calibri" w:hAnsi="Calibri" w:cs="Calibri"/>
          <w:sz w:val="22"/>
          <w:szCs w:val="22"/>
          <w:lang w:val="fr-FR"/>
        </w:rPr>
        <w:t>liniques</w:t>
      </w:r>
      <w:r w:rsidR="00130B7C" w:rsidRPr="00A82FB4">
        <w:rPr>
          <w:rFonts w:ascii="Calibri" w:hAnsi="Calibri" w:cs="Calibri"/>
          <w:sz w:val="22"/>
          <w:szCs w:val="22"/>
          <w:lang w:val="fr-FR"/>
        </w:rPr>
        <w:t xml:space="preserve"> de </w:t>
      </w:r>
      <w:r w:rsidR="00A67663" w:rsidRPr="00A82FB4">
        <w:rPr>
          <w:rFonts w:ascii="Calibri" w:hAnsi="Calibri" w:cs="Calibri"/>
          <w:sz w:val="22"/>
          <w:szCs w:val="22"/>
          <w:lang w:val="fr-FR"/>
        </w:rPr>
        <w:t>sécurité sont</w:t>
      </w:r>
      <w:r w:rsidRPr="00A82FB4">
        <w:rPr>
          <w:rFonts w:ascii="Calibri" w:hAnsi="Calibri" w:cs="Calibri"/>
          <w:sz w:val="22"/>
          <w:szCs w:val="22"/>
          <w:lang w:val="fr-FR"/>
        </w:rPr>
        <w:t xml:space="preserve"> des </w:t>
      </w:r>
      <w:r w:rsidRPr="00A82FB4">
        <w:rPr>
          <w:rStyle w:val="lev"/>
          <w:rFonts w:ascii="Calibri" w:eastAsiaTheme="majorEastAsia" w:hAnsi="Calibri" w:cs="Calibri"/>
          <w:sz w:val="22"/>
          <w:szCs w:val="22"/>
          <w:lang w:val="fr-FR"/>
        </w:rPr>
        <w:t>ateliers pratiques de renforcement des capacités</w:t>
      </w:r>
      <w:r w:rsidRPr="00A82FB4">
        <w:rPr>
          <w:rFonts w:ascii="Calibri" w:hAnsi="Calibri" w:cs="Calibri"/>
          <w:sz w:val="22"/>
          <w:szCs w:val="22"/>
          <w:lang w:val="fr-FR"/>
        </w:rPr>
        <w:t xml:space="preserve"> qui rassemblent des régulateurs, des opérateurs de réseaux mobiles, des fournisseurs de services financiers et des décideurs politiques afin d'évaluer et de renforcer la sécurité des écosystèmes </w:t>
      </w:r>
      <w:r w:rsidR="00130B7C" w:rsidRPr="00A82FB4">
        <w:rPr>
          <w:rFonts w:ascii="Calibri" w:hAnsi="Calibri" w:cs="Calibri"/>
          <w:sz w:val="22"/>
          <w:szCs w:val="22"/>
          <w:lang w:val="fr-FR"/>
        </w:rPr>
        <w:t>SFN</w:t>
      </w:r>
      <w:r w:rsidRPr="00A82FB4">
        <w:rPr>
          <w:rFonts w:ascii="Calibri" w:hAnsi="Calibri" w:cs="Calibri"/>
          <w:sz w:val="22"/>
          <w:szCs w:val="22"/>
          <w:lang w:val="fr-FR"/>
        </w:rPr>
        <w:t xml:space="preserve">. Chaque clinique présente aux participants la méthodologie et les outils du Laboratoire de sécurité </w:t>
      </w:r>
      <w:r w:rsidR="00130B7C" w:rsidRPr="00A82FB4">
        <w:rPr>
          <w:rFonts w:ascii="Calibri" w:hAnsi="Calibri" w:cs="Calibri"/>
          <w:sz w:val="22"/>
          <w:szCs w:val="22"/>
          <w:lang w:val="fr-FR"/>
        </w:rPr>
        <w:t>SFN</w:t>
      </w:r>
      <w:r w:rsidRPr="00A82FB4">
        <w:rPr>
          <w:rFonts w:ascii="Calibri" w:hAnsi="Calibri" w:cs="Calibri"/>
          <w:sz w:val="22"/>
          <w:szCs w:val="22"/>
          <w:lang w:val="fr-FR"/>
        </w:rPr>
        <w:t xml:space="preserve"> de l'UIT, ce qui leur permet de :</w:t>
      </w:r>
    </w:p>
    <w:p w14:paraId="050C8D99" w14:textId="77777777"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sz w:val="22"/>
          <w:szCs w:val="22"/>
          <w:lang w:val="fr-FR"/>
        </w:rPr>
        <w:t>Effectuer des évaluations pratiques de la sécurité des applications et des infrastructures DFS (par exemple, USSD, STK, Android, iOS).</w:t>
      </w:r>
    </w:p>
    <w:p w14:paraId="4DA0D111" w14:textId="77777777"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sz w:val="22"/>
          <w:szCs w:val="22"/>
          <w:lang w:val="fr-FR"/>
        </w:rPr>
        <w:t>Identifiez et atténuez les vulnérabilités systémiques, telles que les défauts de signalisation SS7, l'échange/le recyclage de la carte SIM et les faiblesses des applications mobiles.</w:t>
      </w:r>
    </w:p>
    <w:p w14:paraId="2D8152A4" w14:textId="51493812"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sz w:val="22"/>
          <w:szCs w:val="22"/>
          <w:lang w:val="fr-FR"/>
        </w:rPr>
        <w:t xml:space="preserve">Appliquer des cadres d'assurance de la sécurité et des listes de contrôle de conformité alignés sur les Recommandations de </w:t>
      </w:r>
      <w:r w:rsidRPr="00A82FB4">
        <w:rPr>
          <w:rStyle w:val="lev"/>
          <w:rFonts w:ascii="Calibri" w:eastAsiaTheme="majorEastAsia" w:hAnsi="Calibri" w:cs="Calibri"/>
          <w:sz w:val="22"/>
          <w:szCs w:val="22"/>
          <w:lang w:val="fr-FR"/>
        </w:rPr>
        <w:t>sécurité SFN de l'UIT.</w:t>
      </w:r>
    </w:p>
    <w:p w14:paraId="554C32C5" w14:textId="77777777"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sz w:val="22"/>
          <w:szCs w:val="22"/>
          <w:lang w:val="fr-FR"/>
        </w:rPr>
        <w:t>Renforcez la cyberrésilience grâce à de meilleures mesures de détection, d'intervention et de récupération des incidents.</w:t>
      </w:r>
    </w:p>
    <w:p w14:paraId="67449D8F" w14:textId="77777777"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sz w:val="22"/>
          <w:szCs w:val="22"/>
          <w:lang w:val="fr-FR"/>
        </w:rPr>
        <w:t>Élaborer des programmes de sensibilisation et d'alphabétisation des consommateurs afin de renforcer la confiance du public dans les services financiers et aux services numériques.</w:t>
      </w:r>
    </w:p>
    <w:p w14:paraId="4E5D69AA" w14:textId="77777777" w:rsidR="00A67663" w:rsidRPr="00A82FB4" w:rsidRDefault="00A67663" w:rsidP="00A67663">
      <w:pPr>
        <w:pStyle w:val="NormalWeb"/>
        <w:numPr>
          <w:ilvl w:val="0"/>
          <w:numId w:val="7"/>
        </w:numPr>
        <w:jc w:val="both"/>
        <w:rPr>
          <w:rFonts w:ascii="Calibri" w:hAnsi="Calibri" w:cs="Calibri"/>
          <w:sz w:val="22"/>
          <w:szCs w:val="22"/>
          <w:lang w:val="fr-FR"/>
        </w:rPr>
      </w:pPr>
      <w:r w:rsidRPr="00A82FB4">
        <w:rPr>
          <w:rFonts w:ascii="Calibri" w:hAnsi="Calibri" w:cs="Calibri"/>
          <w:lang w:val="fr-FR"/>
        </w:rPr>
        <w:t>Collaborer entre les secteurs pour élaborer des feuilles de route d'action nationales et régionales pour la sécurité des SFN</w:t>
      </w:r>
      <w:r w:rsidRPr="00A82FB4">
        <w:rPr>
          <w:rFonts w:ascii="Calibri" w:hAnsi="Calibri" w:cs="Calibri"/>
          <w:sz w:val="22"/>
          <w:szCs w:val="22"/>
          <w:lang w:val="fr-FR"/>
        </w:rPr>
        <w:t>.</w:t>
      </w:r>
    </w:p>
    <w:p w14:paraId="6B695563" w14:textId="77777777" w:rsidR="00843794" w:rsidRPr="00A82FB4" w:rsidRDefault="00843794" w:rsidP="00843794">
      <w:pPr>
        <w:pStyle w:val="NormalWeb"/>
        <w:ind w:left="720"/>
        <w:jc w:val="both"/>
        <w:rPr>
          <w:rFonts w:ascii="Calibri" w:hAnsi="Calibri" w:cs="Calibri"/>
          <w:sz w:val="22"/>
          <w:szCs w:val="22"/>
          <w:lang w:val="fr-FR"/>
        </w:rPr>
      </w:pPr>
    </w:p>
    <w:p w14:paraId="44EE38BA" w14:textId="77777777" w:rsidR="00843794" w:rsidRPr="00A82FB4" w:rsidRDefault="00843794" w:rsidP="003C1C38">
      <w:pPr>
        <w:pStyle w:val="NormalWeb"/>
        <w:ind w:left="360"/>
        <w:jc w:val="both"/>
        <w:rPr>
          <w:rFonts w:ascii="Calibri" w:hAnsi="Calibri" w:cs="Calibri"/>
          <w:sz w:val="22"/>
          <w:szCs w:val="22"/>
          <w:lang w:val="fr-FR"/>
        </w:rPr>
      </w:pPr>
      <w:r w:rsidRPr="00A82FB4">
        <w:rPr>
          <w:rFonts w:ascii="Calibri" w:hAnsi="Calibri" w:cs="Calibri"/>
          <w:sz w:val="22"/>
          <w:szCs w:val="22"/>
          <w:lang w:val="fr-FR"/>
        </w:rPr>
        <w:lastRenderedPageBreak/>
        <w:t>Les participants repartent avec des outils pratiques et les prochaines étapes concrètes pour intégrer les contrôles de sécurité des SFN dans la réglementation, la surveillance et la prestation de services.</w:t>
      </w:r>
    </w:p>
    <w:p w14:paraId="0203177C" w14:textId="123BAE47" w:rsidR="00843794" w:rsidRPr="00A82FB4" w:rsidRDefault="00843794" w:rsidP="003C1C38">
      <w:pPr>
        <w:pStyle w:val="NormalWeb"/>
        <w:ind w:left="360"/>
        <w:jc w:val="both"/>
        <w:rPr>
          <w:rFonts w:ascii="Calibri" w:hAnsi="Calibri" w:cs="Calibri"/>
          <w:sz w:val="22"/>
          <w:szCs w:val="22"/>
          <w:lang w:val="fr-FR"/>
        </w:rPr>
      </w:pPr>
      <w:r w:rsidRPr="00A82FB4">
        <w:rPr>
          <w:rFonts w:ascii="Calibri" w:hAnsi="Calibri" w:cs="Calibri"/>
          <w:sz w:val="22"/>
          <w:szCs w:val="22"/>
          <w:lang w:val="fr-FR"/>
        </w:rPr>
        <w:t xml:space="preserve">L'UIT organisera une </w:t>
      </w:r>
      <w:r w:rsidRPr="00A82FB4">
        <w:rPr>
          <w:rStyle w:val="lev"/>
          <w:rFonts w:ascii="Calibri" w:eastAsiaTheme="majorEastAsia" w:hAnsi="Calibri" w:cs="Calibri"/>
          <w:sz w:val="22"/>
          <w:szCs w:val="22"/>
          <w:lang w:val="fr-FR"/>
        </w:rPr>
        <w:t>clinique de sécurité pour la région de l'ARTAC</w:t>
      </w:r>
      <w:r w:rsidRPr="00A82FB4">
        <w:rPr>
          <w:rFonts w:ascii="Calibri" w:hAnsi="Calibri" w:cs="Calibri"/>
          <w:sz w:val="22"/>
          <w:szCs w:val="22"/>
          <w:lang w:val="fr-FR"/>
        </w:rPr>
        <w:t xml:space="preserve">. Cet événement servira de </w:t>
      </w:r>
      <w:r w:rsidRPr="00A82FB4">
        <w:rPr>
          <w:rStyle w:val="lev"/>
          <w:rFonts w:ascii="Calibri" w:eastAsiaTheme="majorEastAsia" w:hAnsi="Calibri" w:cs="Calibri"/>
          <w:sz w:val="22"/>
          <w:szCs w:val="22"/>
          <w:lang w:val="fr-FR"/>
        </w:rPr>
        <w:t xml:space="preserve">point d'entrée pour que les pays de l'ARTAC commencent à adopter les Recommandations de sécurité </w:t>
      </w:r>
      <w:r w:rsidR="00EE0658" w:rsidRPr="00A82FB4">
        <w:rPr>
          <w:rStyle w:val="lev"/>
          <w:rFonts w:ascii="Calibri" w:eastAsiaTheme="majorEastAsia" w:hAnsi="Calibri" w:cs="Calibri"/>
          <w:sz w:val="22"/>
          <w:szCs w:val="22"/>
          <w:lang w:val="fr-FR"/>
        </w:rPr>
        <w:t>SFN</w:t>
      </w:r>
      <w:r w:rsidRPr="00A82FB4">
        <w:rPr>
          <w:rStyle w:val="lev"/>
          <w:rFonts w:ascii="Calibri" w:eastAsiaTheme="majorEastAsia" w:hAnsi="Calibri" w:cs="Calibri"/>
          <w:sz w:val="22"/>
          <w:szCs w:val="22"/>
          <w:lang w:val="fr-FR"/>
        </w:rPr>
        <w:t xml:space="preserve"> de l'UIT au niveau régional</w:t>
      </w:r>
      <w:r w:rsidRPr="00A82FB4">
        <w:rPr>
          <w:rFonts w:ascii="Calibri" w:hAnsi="Calibri" w:cs="Calibri"/>
          <w:sz w:val="22"/>
          <w:szCs w:val="22"/>
          <w:lang w:val="fr-FR"/>
        </w:rPr>
        <w:t xml:space="preserve">. Ces recommandations, notamment </w:t>
      </w:r>
      <w:r w:rsidRPr="00A82FB4">
        <w:rPr>
          <w:rStyle w:val="lev"/>
          <w:rFonts w:ascii="Calibri" w:eastAsiaTheme="majorEastAsia" w:hAnsi="Calibri" w:cs="Calibri"/>
          <w:sz w:val="22"/>
          <w:szCs w:val="22"/>
          <w:lang w:val="fr-FR"/>
        </w:rPr>
        <w:t>UIT-T X.1277.2 (04/2023) : Cadre de sécurité pour les services financiers numériques</w:t>
      </w:r>
      <w:r w:rsidRPr="00A82FB4">
        <w:rPr>
          <w:rFonts w:ascii="Calibri" w:hAnsi="Calibri" w:cs="Calibri"/>
          <w:b/>
          <w:bCs/>
          <w:sz w:val="22"/>
          <w:szCs w:val="22"/>
          <w:lang w:val="fr-FR"/>
        </w:rPr>
        <w:t xml:space="preserve"> et </w:t>
      </w:r>
      <w:r w:rsidRPr="00A82FB4">
        <w:rPr>
          <w:rStyle w:val="lev"/>
          <w:rFonts w:ascii="Calibri" w:eastAsiaTheme="majorEastAsia" w:hAnsi="Calibri" w:cs="Calibri"/>
          <w:sz w:val="22"/>
          <w:szCs w:val="22"/>
          <w:lang w:val="fr-FR"/>
        </w:rPr>
        <w:t>UIT-T X.1456 : Lignes directrices en matière de sécurité pour les services financiers numériques</w:t>
      </w:r>
      <w:r w:rsidRPr="00A82FB4">
        <w:rPr>
          <w:rFonts w:ascii="Calibri" w:hAnsi="Calibri" w:cs="Calibri"/>
          <w:sz w:val="22"/>
          <w:szCs w:val="22"/>
          <w:lang w:val="fr-FR"/>
        </w:rPr>
        <w:t>, fournissent un ensemble structuré de contrôles et d'attentes prudentielles visant à atténuer les risques dans l'ensemble des écosystèmes de SFN.</w:t>
      </w:r>
    </w:p>
    <w:p w14:paraId="5D69A09C" w14:textId="3700C82F" w:rsidR="000F5C9D" w:rsidRPr="00A82FB4" w:rsidRDefault="000F5C9D" w:rsidP="00BB2DD1">
      <w:pPr>
        <w:pStyle w:val="paragraph"/>
        <w:spacing w:before="0" w:beforeAutospacing="0" w:after="0" w:afterAutospacing="0"/>
        <w:jc w:val="both"/>
        <w:textAlignment w:val="baseline"/>
        <w:rPr>
          <w:rStyle w:val="normaltextrun"/>
          <w:rFonts w:ascii="Calibri" w:eastAsiaTheme="majorEastAsia" w:hAnsi="Calibri" w:cs="Calibri"/>
          <w:b/>
          <w:bCs/>
          <w:sz w:val="22"/>
          <w:szCs w:val="22"/>
          <w:lang w:val="fr-FR"/>
        </w:rPr>
      </w:pPr>
      <w:r w:rsidRPr="00A82FB4">
        <w:rPr>
          <w:rStyle w:val="normaltextrun"/>
          <w:rFonts w:ascii="Calibri" w:eastAsiaTheme="majorEastAsia" w:hAnsi="Calibri" w:cs="Calibri"/>
          <w:b/>
          <w:bCs/>
          <w:sz w:val="22"/>
          <w:szCs w:val="22"/>
          <w:lang w:val="fr-FR"/>
        </w:rPr>
        <w:t xml:space="preserve">Résumé des directives et recommandations de sécurité </w:t>
      </w:r>
      <w:r w:rsidR="00EE0658" w:rsidRPr="00A82FB4">
        <w:rPr>
          <w:rStyle w:val="normaltextrun"/>
          <w:rFonts w:ascii="Calibri" w:eastAsiaTheme="majorEastAsia" w:hAnsi="Calibri" w:cs="Calibri"/>
          <w:b/>
          <w:bCs/>
          <w:sz w:val="22"/>
          <w:szCs w:val="22"/>
          <w:lang w:val="fr-FR"/>
        </w:rPr>
        <w:t>SFN</w:t>
      </w:r>
    </w:p>
    <w:p w14:paraId="15E7D930" w14:textId="77777777" w:rsidR="007E5976" w:rsidRPr="00A82FB4" w:rsidRDefault="007E5976" w:rsidP="00BB2DD1">
      <w:pPr>
        <w:pStyle w:val="paragraph"/>
        <w:spacing w:before="0" w:beforeAutospacing="0" w:after="0" w:afterAutospacing="0"/>
        <w:jc w:val="both"/>
        <w:textAlignment w:val="baseline"/>
        <w:rPr>
          <w:rFonts w:ascii="Calibri" w:hAnsi="Calibri" w:cs="Calibri"/>
          <w:sz w:val="22"/>
          <w:szCs w:val="22"/>
          <w:lang w:val="fr-FR"/>
        </w:rPr>
      </w:pPr>
    </w:p>
    <w:p w14:paraId="56077592" w14:textId="3B818C5E" w:rsidR="00064EF5" w:rsidRPr="00A82FB4" w:rsidRDefault="00064EF5" w:rsidP="007E5976">
      <w:pPr>
        <w:pStyle w:val="paragraph"/>
        <w:numPr>
          <w:ilvl w:val="0"/>
          <w:numId w:val="29"/>
        </w:numPr>
        <w:spacing w:before="0" w:beforeAutospacing="0" w:after="0" w:afterAutospacing="0"/>
        <w:jc w:val="both"/>
        <w:textAlignment w:val="baseline"/>
        <w:rPr>
          <w:rFonts w:ascii="Calibri" w:hAnsi="Calibri" w:cs="Calibri"/>
          <w:sz w:val="22"/>
          <w:szCs w:val="22"/>
          <w:lang w:val="fr-FR"/>
        </w:rPr>
      </w:pPr>
      <w:hyperlink r:id="rId13" w:tgtFrame="_blank" w:history="1">
        <w:r w:rsidRPr="00A82FB4">
          <w:rPr>
            <w:rStyle w:val="normaltextrun"/>
            <w:rFonts w:ascii="Calibri" w:eastAsiaTheme="majorEastAsia" w:hAnsi="Calibri" w:cs="Calibri"/>
            <w:color w:val="0000FF"/>
            <w:sz w:val="22"/>
            <w:szCs w:val="22"/>
            <w:u w:val="single"/>
            <w:lang w:val="fr-FR"/>
          </w:rPr>
          <w:t xml:space="preserve">Recommandations à l'intention des régulateurs pour atténuer les vulnérabilités SS7 : </w:t>
        </w:r>
      </w:hyperlink>
      <w:r w:rsidRPr="00A82FB4">
        <w:rPr>
          <w:rStyle w:val="normaltextrun"/>
          <w:rFonts w:ascii="Calibri" w:eastAsiaTheme="majorEastAsia" w:hAnsi="Calibri" w:cs="Calibri"/>
          <w:sz w:val="22"/>
          <w:szCs w:val="22"/>
          <w:lang w:val="fr-FR"/>
        </w:rPr>
        <w:t xml:space="preserve">détails sur les recommandations à l'intention des régulateurs </w:t>
      </w:r>
      <w:r w:rsidR="003750E7" w:rsidRPr="00A82FB4">
        <w:rPr>
          <w:rStyle w:val="normaltextrun"/>
          <w:rFonts w:ascii="Calibri" w:eastAsiaTheme="majorEastAsia" w:hAnsi="Calibri" w:cs="Calibri"/>
          <w:sz w:val="22"/>
          <w:szCs w:val="22"/>
          <w:lang w:val="fr-FR"/>
        </w:rPr>
        <w:t>de la SFN</w:t>
      </w:r>
      <w:r w:rsidRPr="00A82FB4">
        <w:rPr>
          <w:rStyle w:val="normaltextrun"/>
          <w:rFonts w:ascii="Calibri" w:eastAsiaTheme="majorEastAsia" w:hAnsi="Calibri" w:cs="Calibri"/>
          <w:sz w:val="22"/>
          <w:szCs w:val="22"/>
          <w:lang w:val="fr-FR"/>
        </w:rPr>
        <w:t xml:space="preserve"> et des opérateurs de réseaux mobiles pour atténuer les effets des vulnérabilités SS7. </w:t>
      </w:r>
    </w:p>
    <w:p w14:paraId="77364218" w14:textId="77777777" w:rsidR="00064EF5" w:rsidRPr="00A82FB4" w:rsidRDefault="00064EF5" w:rsidP="00E863E6">
      <w:pPr>
        <w:pStyle w:val="paragraph"/>
        <w:spacing w:before="0" w:beforeAutospacing="0" w:after="0" w:afterAutospacing="0"/>
        <w:ind w:left="-765" w:firstLine="40"/>
        <w:jc w:val="both"/>
        <w:textAlignment w:val="baseline"/>
        <w:rPr>
          <w:rFonts w:ascii="Calibri" w:hAnsi="Calibri" w:cs="Calibri"/>
          <w:sz w:val="22"/>
          <w:szCs w:val="22"/>
          <w:lang w:val="fr-FR"/>
        </w:rPr>
      </w:pPr>
    </w:p>
    <w:p w14:paraId="77928DAC" w14:textId="6A5D1C0C" w:rsidR="00064EF5" w:rsidRPr="00A82FB4" w:rsidRDefault="00064EF5" w:rsidP="007E5976">
      <w:pPr>
        <w:pStyle w:val="paragraph"/>
        <w:numPr>
          <w:ilvl w:val="0"/>
          <w:numId w:val="29"/>
        </w:numPr>
        <w:spacing w:before="0" w:beforeAutospacing="0" w:after="0" w:afterAutospacing="0"/>
        <w:jc w:val="both"/>
        <w:textAlignment w:val="baseline"/>
        <w:rPr>
          <w:rFonts w:ascii="Calibri" w:hAnsi="Calibri" w:cs="Calibri"/>
          <w:sz w:val="22"/>
          <w:szCs w:val="22"/>
          <w:lang w:val="fr-FR"/>
        </w:rPr>
      </w:pPr>
      <w:hyperlink r:id="rId14" w:tgtFrame="_blank" w:history="1">
        <w:r w:rsidRPr="00A82FB4">
          <w:rPr>
            <w:rStyle w:val="normaltextrun"/>
            <w:rFonts w:ascii="Calibri" w:eastAsiaTheme="majorEastAsia" w:hAnsi="Calibri" w:cs="Calibri"/>
            <w:color w:val="0000FF"/>
            <w:sz w:val="22"/>
            <w:szCs w:val="22"/>
            <w:u w:val="single"/>
            <w:lang w:val="fr-FR"/>
          </w:rPr>
          <w:t xml:space="preserve">Recommandations de sécurité pour se protéger contre les risques </w:t>
        </w:r>
        <w:r w:rsidR="0014251D" w:rsidRPr="00A82FB4">
          <w:rPr>
            <w:rStyle w:val="normaltextrun"/>
            <w:rFonts w:ascii="Calibri" w:eastAsiaTheme="majorEastAsia" w:hAnsi="Calibri" w:cs="Calibri"/>
            <w:color w:val="0000FF"/>
            <w:sz w:val="22"/>
            <w:szCs w:val="22"/>
            <w:u w:val="single"/>
            <w:lang w:val="fr-FR"/>
          </w:rPr>
          <w:t xml:space="preserve">de </w:t>
        </w:r>
        <w:r w:rsidR="00A112BF" w:rsidRPr="00A82FB4">
          <w:rPr>
            <w:rStyle w:val="normaltextrun"/>
            <w:rFonts w:ascii="Calibri" w:eastAsiaTheme="majorEastAsia" w:hAnsi="Calibri" w:cs="Calibri"/>
            <w:color w:val="0000FF"/>
            <w:sz w:val="22"/>
            <w:szCs w:val="22"/>
            <w:u w:val="single"/>
            <w:lang w:val="fr-FR"/>
          </w:rPr>
          <w:t>SFN</w:t>
        </w:r>
        <w:r w:rsidR="0014251D" w:rsidRPr="00A82FB4">
          <w:rPr>
            <w:rStyle w:val="normaltextrun"/>
            <w:rFonts w:ascii="Calibri" w:eastAsiaTheme="majorEastAsia" w:hAnsi="Calibri" w:cs="Calibri"/>
            <w:color w:val="0000FF"/>
            <w:sz w:val="22"/>
            <w:szCs w:val="22"/>
            <w:u w:val="single"/>
            <w:lang w:val="fr-FR"/>
          </w:rPr>
          <w:t xml:space="preserve"> sur les</w:t>
        </w:r>
        <w:r w:rsidRPr="00A82FB4">
          <w:rPr>
            <w:rStyle w:val="normaltextrun"/>
            <w:rFonts w:ascii="Calibri" w:eastAsiaTheme="majorEastAsia" w:hAnsi="Calibri" w:cs="Calibri"/>
            <w:color w:val="0000FF"/>
            <w:sz w:val="22"/>
            <w:szCs w:val="22"/>
            <w:u w:val="single"/>
            <w:lang w:val="fr-FR"/>
          </w:rPr>
          <w:t xml:space="preserve"> cartes SIM et la fraude par échange de cartes SIM</w:t>
        </w:r>
      </w:hyperlink>
      <w:r w:rsidRPr="00A82FB4">
        <w:rPr>
          <w:rStyle w:val="normaltextrun"/>
          <w:rFonts w:ascii="Calibri" w:eastAsiaTheme="majorEastAsia" w:hAnsi="Calibri" w:cs="Calibri"/>
          <w:sz w:val="22"/>
          <w:szCs w:val="22"/>
          <w:lang w:val="fr-FR"/>
        </w:rPr>
        <w:t xml:space="preserve"> :</w:t>
      </w:r>
      <w:r w:rsidRPr="00A82FB4">
        <w:rPr>
          <w:rStyle w:val="normaltextrun"/>
          <w:rFonts w:ascii="Calibri" w:eastAsiaTheme="majorEastAsia" w:hAnsi="Calibri" w:cs="Calibri"/>
          <w:b/>
          <w:bCs/>
          <w:sz w:val="22"/>
          <w:szCs w:val="22"/>
          <w:lang w:val="fr-FR"/>
        </w:rPr>
        <w:t xml:space="preserve"> - </w:t>
      </w:r>
      <w:r w:rsidRPr="00A82FB4">
        <w:rPr>
          <w:rStyle w:val="normaltextrun"/>
          <w:rFonts w:ascii="Calibri" w:eastAsiaTheme="majorEastAsia" w:hAnsi="Calibri" w:cs="Calibri"/>
          <w:sz w:val="22"/>
          <w:szCs w:val="22"/>
          <w:lang w:val="fr-FR"/>
        </w:rPr>
        <w:t xml:space="preserve">conseils et recommandations pour les régulateurs et les fournisseurs afin d'atténuer les vulnérabilités des cartes SIM telles que les échanges de cartes SIM, le recyclage des cartes SIM et les attaques sur les cartes SIM telles que les attaques binaires en direct. </w:t>
      </w:r>
    </w:p>
    <w:p w14:paraId="4C520289" w14:textId="77777777" w:rsidR="00064EF5" w:rsidRPr="00A82FB4" w:rsidRDefault="00064EF5" w:rsidP="00E863E6">
      <w:pPr>
        <w:pStyle w:val="paragraph"/>
        <w:spacing w:before="0" w:beforeAutospacing="0" w:after="0" w:afterAutospacing="0"/>
        <w:ind w:left="-765" w:firstLine="40"/>
        <w:jc w:val="both"/>
        <w:textAlignment w:val="baseline"/>
        <w:rPr>
          <w:rFonts w:ascii="Calibri" w:hAnsi="Calibri" w:cs="Calibri"/>
          <w:sz w:val="22"/>
          <w:szCs w:val="22"/>
          <w:lang w:val="fr-FR"/>
        </w:rPr>
      </w:pPr>
    </w:p>
    <w:p w14:paraId="01380FC6" w14:textId="2E8B90DE" w:rsidR="00064EF5" w:rsidRPr="00A82FB4" w:rsidRDefault="00064EF5" w:rsidP="007E5976">
      <w:pPr>
        <w:pStyle w:val="paragraph"/>
        <w:numPr>
          <w:ilvl w:val="0"/>
          <w:numId w:val="29"/>
        </w:numPr>
        <w:spacing w:before="0" w:beforeAutospacing="0" w:after="0" w:afterAutospacing="0"/>
        <w:jc w:val="both"/>
        <w:textAlignment w:val="baseline"/>
        <w:rPr>
          <w:rFonts w:ascii="Calibri" w:hAnsi="Calibri" w:cs="Calibri"/>
          <w:sz w:val="22"/>
          <w:szCs w:val="22"/>
          <w:lang w:val="fr-FR"/>
        </w:rPr>
      </w:pPr>
      <w:hyperlink r:id="rId15" w:tgtFrame="_blank" w:history="1">
        <w:r w:rsidRPr="00A82FB4">
          <w:rPr>
            <w:rStyle w:val="normaltextrun"/>
            <w:rFonts w:ascii="Calibri" w:eastAsiaTheme="majorEastAsia" w:hAnsi="Calibri" w:cs="Calibri"/>
            <w:color w:val="0000FF"/>
            <w:sz w:val="22"/>
            <w:szCs w:val="22"/>
            <w:u w:val="single"/>
            <w:lang w:val="fr-FR"/>
          </w:rPr>
          <w:t xml:space="preserve">Meilleures pratiques en matière de sécurité des applications mobiles </w:t>
        </w:r>
      </w:hyperlink>
      <w:r w:rsidRPr="00A82FB4">
        <w:rPr>
          <w:rStyle w:val="normaltextrun"/>
          <w:rFonts w:ascii="Calibri" w:eastAsiaTheme="majorEastAsia" w:hAnsi="Calibri" w:cs="Calibri"/>
          <w:sz w:val="22"/>
          <w:szCs w:val="22"/>
          <w:lang w:val="fr-FR"/>
        </w:rPr>
        <w:t xml:space="preserve">: les meilleures pratiques en matière de sécurité des applications de services financiers mobiles que les régulateurs </w:t>
      </w:r>
      <w:r w:rsidR="003750E7" w:rsidRPr="00A82FB4">
        <w:rPr>
          <w:rStyle w:val="normaltextrun"/>
          <w:rFonts w:ascii="Calibri" w:eastAsiaTheme="majorEastAsia" w:hAnsi="Calibri" w:cs="Calibri"/>
          <w:sz w:val="22"/>
          <w:szCs w:val="22"/>
          <w:lang w:val="fr-FR"/>
        </w:rPr>
        <w:t>de la SFN</w:t>
      </w:r>
      <w:r w:rsidRPr="00A82FB4">
        <w:rPr>
          <w:rStyle w:val="normaltextrun"/>
          <w:rFonts w:ascii="Calibri" w:eastAsiaTheme="majorEastAsia" w:hAnsi="Calibri" w:cs="Calibri"/>
          <w:sz w:val="22"/>
          <w:szCs w:val="22"/>
          <w:lang w:val="fr-FR"/>
        </w:rPr>
        <w:t xml:space="preserve"> peuvent adopter à titre de lignes directrices. </w:t>
      </w:r>
    </w:p>
    <w:p w14:paraId="5EC1D5C7" w14:textId="77777777" w:rsidR="00064EF5" w:rsidRPr="00A82FB4" w:rsidRDefault="00064EF5" w:rsidP="00E863E6">
      <w:pPr>
        <w:pStyle w:val="paragraph"/>
        <w:spacing w:before="0" w:beforeAutospacing="0" w:after="0" w:afterAutospacing="0"/>
        <w:ind w:firstLine="40"/>
        <w:jc w:val="both"/>
        <w:textAlignment w:val="baseline"/>
        <w:rPr>
          <w:rFonts w:ascii="Calibri" w:hAnsi="Calibri" w:cs="Calibri"/>
          <w:sz w:val="22"/>
          <w:szCs w:val="22"/>
          <w:lang w:val="fr-FR"/>
        </w:rPr>
      </w:pPr>
    </w:p>
    <w:p w14:paraId="4D330BA2" w14:textId="5B7129B6" w:rsidR="00064EF5" w:rsidRPr="00A82FB4" w:rsidRDefault="00064EF5" w:rsidP="007E5976">
      <w:pPr>
        <w:pStyle w:val="paragraph"/>
        <w:numPr>
          <w:ilvl w:val="0"/>
          <w:numId w:val="29"/>
        </w:numPr>
        <w:spacing w:before="0" w:beforeAutospacing="0" w:after="0" w:afterAutospacing="0"/>
        <w:jc w:val="both"/>
        <w:textAlignment w:val="baseline"/>
        <w:rPr>
          <w:rFonts w:ascii="Calibri" w:hAnsi="Calibri" w:cs="Calibri"/>
          <w:sz w:val="22"/>
          <w:szCs w:val="22"/>
          <w:lang w:val="fr-FR"/>
        </w:rPr>
      </w:pPr>
      <w:hyperlink r:id="rId16" w:tgtFrame="_blank" w:history="1">
        <w:r w:rsidRPr="00A82FB4">
          <w:rPr>
            <w:rStyle w:val="normaltextrun"/>
            <w:rFonts w:ascii="Calibri" w:eastAsiaTheme="majorEastAsia" w:hAnsi="Calibri" w:cs="Calibri"/>
            <w:color w:val="0000FF"/>
            <w:sz w:val="22"/>
            <w:szCs w:val="22"/>
            <w:u w:val="single"/>
            <w:lang w:val="fr-FR"/>
          </w:rPr>
          <w:t>Modèle de protocole d'entente type entre un organisme de réglementation des télécommunications et une banque centrale sur la sécurité des services financiers numériques :</w:t>
        </w:r>
      </w:hyperlink>
      <w:r w:rsidRPr="00A82FB4">
        <w:rPr>
          <w:rStyle w:val="normaltextrun"/>
          <w:rFonts w:ascii="Calibri" w:eastAsiaTheme="majorEastAsia" w:hAnsi="Calibri" w:cs="Calibri"/>
          <w:b/>
          <w:bCs/>
          <w:sz w:val="22"/>
          <w:szCs w:val="22"/>
          <w:lang w:val="fr-FR"/>
        </w:rPr>
        <w:t xml:space="preserve"> - </w:t>
      </w:r>
      <w:r w:rsidRPr="00A82FB4">
        <w:rPr>
          <w:rStyle w:val="normaltextrun"/>
          <w:rFonts w:ascii="Calibri" w:eastAsiaTheme="majorEastAsia" w:hAnsi="Calibri" w:cs="Calibri"/>
          <w:sz w:val="22"/>
          <w:szCs w:val="22"/>
          <w:lang w:val="fr-FR"/>
        </w:rPr>
        <w:t>comprend des clauses qui traitent de la sécurité des SFN que les régulateurs devraient envisager d'adopter ou d'intégrer dans les protocoles d'entente existants.  </w:t>
      </w:r>
    </w:p>
    <w:p w14:paraId="3A523113" w14:textId="77777777" w:rsidR="00064EF5" w:rsidRPr="00A82FB4" w:rsidRDefault="00064EF5" w:rsidP="00E863E6">
      <w:pPr>
        <w:pStyle w:val="paragraph"/>
        <w:spacing w:before="0" w:beforeAutospacing="0" w:after="0" w:afterAutospacing="0"/>
        <w:ind w:firstLine="40"/>
        <w:jc w:val="both"/>
        <w:textAlignment w:val="baseline"/>
        <w:rPr>
          <w:rFonts w:ascii="Calibri" w:hAnsi="Calibri" w:cs="Calibri"/>
          <w:sz w:val="22"/>
          <w:szCs w:val="22"/>
          <w:lang w:val="fr-FR"/>
        </w:rPr>
      </w:pPr>
    </w:p>
    <w:p w14:paraId="7E317CF7" w14:textId="205B6862" w:rsidR="00064EF5" w:rsidRPr="00A82FB4" w:rsidRDefault="00064EF5" w:rsidP="007E5976">
      <w:pPr>
        <w:pStyle w:val="paragraph"/>
        <w:numPr>
          <w:ilvl w:val="0"/>
          <w:numId w:val="29"/>
        </w:numPr>
        <w:spacing w:before="0" w:beforeAutospacing="0" w:after="0" w:afterAutospacing="0"/>
        <w:jc w:val="both"/>
        <w:textAlignment w:val="baseline"/>
        <w:rPr>
          <w:rStyle w:val="normaltextrun"/>
          <w:rFonts w:ascii="Calibri" w:hAnsi="Calibri" w:cs="Calibri"/>
          <w:sz w:val="22"/>
          <w:szCs w:val="22"/>
          <w:lang w:val="fr-FR"/>
        </w:rPr>
      </w:pPr>
      <w:hyperlink r:id="rId17" w:tgtFrame="_blank" w:history="1">
        <w:r w:rsidRPr="00A82FB4">
          <w:rPr>
            <w:rStyle w:val="normaltextrun"/>
            <w:rFonts w:ascii="Calibri" w:eastAsiaTheme="majorEastAsia" w:hAnsi="Calibri" w:cs="Calibri"/>
            <w:color w:val="0000FF"/>
            <w:sz w:val="22"/>
            <w:szCs w:val="22"/>
            <w:u w:val="single"/>
            <w:lang w:val="fr-FR"/>
          </w:rPr>
          <w:t xml:space="preserve">Cadre de compétences des consommateurs </w:t>
        </w:r>
        <w:r w:rsidR="007B06F8" w:rsidRPr="00A82FB4">
          <w:rPr>
            <w:rStyle w:val="normaltextrun"/>
            <w:rFonts w:ascii="Calibri" w:eastAsiaTheme="majorEastAsia" w:hAnsi="Calibri" w:cs="Calibri"/>
            <w:color w:val="0000FF"/>
            <w:sz w:val="22"/>
            <w:szCs w:val="22"/>
            <w:u w:val="single"/>
            <w:lang w:val="fr-FR"/>
          </w:rPr>
          <w:t xml:space="preserve">de </w:t>
        </w:r>
        <w:r w:rsidR="00EE0658" w:rsidRPr="00A82FB4">
          <w:rPr>
            <w:rStyle w:val="normaltextrun"/>
            <w:rFonts w:ascii="Calibri" w:eastAsiaTheme="majorEastAsia" w:hAnsi="Calibri" w:cs="Calibri"/>
            <w:color w:val="0000FF"/>
            <w:sz w:val="22"/>
            <w:szCs w:val="22"/>
            <w:u w:val="single"/>
            <w:lang w:val="fr-FR"/>
          </w:rPr>
          <w:t>SFN</w:t>
        </w:r>
        <w:r w:rsidRPr="00A82FB4">
          <w:rPr>
            <w:rStyle w:val="normaltextrun"/>
            <w:rFonts w:ascii="Calibri" w:eastAsiaTheme="majorEastAsia" w:hAnsi="Calibri" w:cs="Calibri"/>
            <w:color w:val="0000FF"/>
            <w:sz w:val="22"/>
            <w:szCs w:val="22"/>
            <w:u w:val="single"/>
            <w:lang w:val="fr-FR"/>
          </w:rPr>
          <w:t xml:space="preserve"> </w:t>
        </w:r>
      </w:hyperlink>
      <w:r w:rsidRPr="00A82FB4">
        <w:rPr>
          <w:rStyle w:val="normaltextrun"/>
          <w:rFonts w:ascii="Calibri" w:eastAsiaTheme="majorEastAsia" w:hAnsi="Calibri" w:cs="Calibri"/>
          <w:sz w:val="22"/>
          <w:szCs w:val="22"/>
          <w:lang w:val="fr-FR"/>
        </w:rPr>
        <w:t xml:space="preserve">: Le cadre de compétences des consommateurs DFS fournit des conseils aux décideurs politiques, aux régulateurs nationaux et aux fournisseurs de SFN lors de l'élaboration de programmes de sensibilisation et d'alphabétisation des consommateurs dans le cadre de la stratégie </w:t>
      </w:r>
      <w:r w:rsidR="00C215EA" w:rsidRPr="00A82FB4">
        <w:rPr>
          <w:rStyle w:val="normaltextrun"/>
          <w:rFonts w:ascii="Calibri" w:eastAsiaTheme="majorEastAsia" w:hAnsi="Calibri" w:cs="Calibri"/>
          <w:sz w:val="22"/>
          <w:szCs w:val="22"/>
          <w:lang w:val="fr-FR"/>
        </w:rPr>
        <w:t>SFN</w:t>
      </w:r>
      <w:r w:rsidRPr="00A82FB4">
        <w:rPr>
          <w:rStyle w:val="normaltextrun"/>
          <w:rFonts w:ascii="Calibri" w:eastAsiaTheme="majorEastAsia" w:hAnsi="Calibri" w:cs="Calibri"/>
          <w:sz w:val="22"/>
          <w:szCs w:val="22"/>
          <w:lang w:val="fr-FR"/>
        </w:rPr>
        <w:t>/inclusion financière.  </w:t>
      </w:r>
    </w:p>
    <w:p w14:paraId="2632D839" w14:textId="77777777" w:rsidR="007E5976" w:rsidRPr="00A82FB4" w:rsidRDefault="007E5976" w:rsidP="007E5976">
      <w:pPr>
        <w:pStyle w:val="Paragraphedeliste"/>
        <w:rPr>
          <w:rFonts w:ascii="Calibri" w:hAnsi="Calibri" w:cs="Calibri"/>
          <w:lang w:val="fr-FR"/>
        </w:rPr>
      </w:pPr>
    </w:p>
    <w:p w14:paraId="42E6E0D8" w14:textId="41D96995" w:rsidR="00C6509D" w:rsidRPr="00A82FB4" w:rsidRDefault="00C6509D" w:rsidP="00777C35">
      <w:pPr>
        <w:pStyle w:val="NormalWeb"/>
        <w:jc w:val="both"/>
        <w:rPr>
          <w:rFonts w:ascii="Calibri" w:hAnsi="Calibri" w:cs="Calibri"/>
          <w:sz w:val="22"/>
          <w:szCs w:val="22"/>
          <w:lang w:val="fr-FR"/>
        </w:rPr>
      </w:pPr>
      <w:r w:rsidRPr="00A82FB4">
        <w:rPr>
          <w:rFonts w:ascii="Calibri" w:hAnsi="Calibri" w:cs="Calibri"/>
          <w:sz w:val="22"/>
          <w:szCs w:val="22"/>
          <w:lang w:val="fr-FR"/>
        </w:rPr>
        <w:t xml:space="preserve">Il est important de noter que ces recommandations ont déjà été </w:t>
      </w:r>
      <w:r w:rsidRPr="00A82FB4">
        <w:rPr>
          <w:rStyle w:val="lev"/>
          <w:rFonts w:ascii="Calibri" w:eastAsiaTheme="majorEastAsia" w:hAnsi="Calibri" w:cs="Calibri"/>
          <w:sz w:val="22"/>
          <w:szCs w:val="22"/>
          <w:lang w:val="fr-FR"/>
        </w:rPr>
        <w:t>adoptées par l'Association des régulateurs des communications d'Afrique australe (CRASA)</w:t>
      </w:r>
      <w:r w:rsidRPr="00A82FB4">
        <w:rPr>
          <w:rFonts w:ascii="Calibri" w:hAnsi="Calibri" w:cs="Calibri"/>
          <w:sz w:val="22"/>
          <w:szCs w:val="22"/>
          <w:lang w:val="fr-FR"/>
        </w:rPr>
        <w:t xml:space="preserve"> et l'</w:t>
      </w:r>
      <w:r w:rsidRPr="00A82FB4">
        <w:rPr>
          <w:rStyle w:val="lev"/>
          <w:rFonts w:ascii="Calibri" w:eastAsiaTheme="majorEastAsia" w:hAnsi="Calibri" w:cs="Calibri"/>
          <w:sz w:val="22"/>
          <w:szCs w:val="22"/>
          <w:lang w:val="fr-FR"/>
        </w:rPr>
        <w:t>Organisation des communications de l'Afrique de l'Est (EACO),</w:t>
      </w:r>
      <w:r w:rsidRPr="00A82FB4">
        <w:rPr>
          <w:rFonts w:ascii="Calibri" w:hAnsi="Calibri" w:cs="Calibri"/>
          <w:sz w:val="22"/>
          <w:szCs w:val="22"/>
          <w:lang w:val="fr-FR"/>
        </w:rPr>
        <w:t xml:space="preserve"> et sont </w:t>
      </w:r>
      <w:r w:rsidRPr="00A82FB4">
        <w:rPr>
          <w:rStyle w:val="lev"/>
          <w:rFonts w:ascii="Calibri" w:eastAsiaTheme="majorEastAsia" w:hAnsi="Calibri" w:cs="Calibri"/>
          <w:sz w:val="22"/>
          <w:szCs w:val="22"/>
          <w:lang w:val="fr-FR"/>
        </w:rPr>
        <w:t>à l'étude pour adoption par l'Assemblée des régulateurs des télécommunications d'Afrique de l'Ouest (ATRAO).</w:t>
      </w:r>
      <w:r w:rsidRPr="00A82FB4">
        <w:rPr>
          <w:rFonts w:ascii="Calibri" w:hAnsi="Calibri" w:cs="Calibri"/>
          <w:b/>
          <w:bCs/>
          <w:sz w:val="22"/>
          <w:szCs w:val="22"/>
          <w:lang w:val="fr-FR"/>
        </w:rPr>
        <w:t xml:space="preserve"> </w:t>
      </w:r>
      <w:r w:rsidRPr="00A82FB4">
        <w:rPr>
          <w:rFonts w:ascii="Calibri" w:hAnsi="Calibri" w:cs="Calibri"/>
          <w:sz w:val="22"/>
          <w:szCs w:val="22"/>
          <w:lang w:val="fr-FR"/>
        </w:rPr>
        <w:t>La Clinique de Sécurité ARTAC représente donc une opportunité charnière pour étendre cette dynamique à l'Afrique centrale.</w:t>
      </w:r>
    </w:p>
    <w:p w14:paraId="5EEBFB0A" w14:textId="77777777" w:rsidR="00C6509D" w:rsidRPr="00A82FB4" w:rsidRDefault="00C6509D" w:rsidP="00777C35">
      <w:pPr>
        <w:pStyle w:val="NormalWeb"/>
        <w:jc w:val="both"/>
        <w:rPr>
          <w:rFonts w:ascii="Calibri" w:hAnsi="Calibri" w:cs="Calibri"/>
          <w:sz w:val="22"/>
          <w:szCs w:val="22"/>
          <w:lang w:val="fr-FR"/>
        </w:rPr>
      </w:pPr>
    </w:p>
    <w:p w14:paraId="5460FE44" w14:textId="77777777" w:rsidR="00D8172A" w:rsidRPr="00A82FB4" w:rsidRDefault="00D8172A" w:rsidP="0066162A">
      <w:pPr>
        <w:pStyle w:val="Titre3"/>
        <w:jc w:val="both"/>
        <w:rPr>
          <w:rFonts w:ascii="Calibri" w:hAnsi="Calibri" w:cs="Calibri"/>
          <w:b/>
          <w:bCs/>
          <w:color w:val="000000" w:themeColor="text1"/>
          <w:sz w:val="22"/>
          <w:szCs w:val="22"/>
          <w:lang w:val="fr-FR"/>
        </w:rPr>
      </w:pPr>
      <w:r w:rsidRPr="00A82FB4">
        <w:rPr>
          <w:rFonts w:ascii="Calibri" w:hAnsi="Calibri" w:cs="Calibri"/>
          <w:b/>
          <w:bCs/>
          <w:color w:val="000000" w:themeColor="text1"/>
          <w:sz w:val="22"/>
          <w:szCs w:val="22"/>
          <w:lang w:val="fr-FR"/>
        </w:rPr>
        <w:lastRenderedPageBreak/>
        <w:t>Description de la Clinique de Sécurité</w:t>
      </w:r>
    </w:p>
    <w:p w14:paraId="28075149" w14:textId="0E14BC27" w:rsidR="00D8172A" w:rsidRPr="00A82FB4" w:rsidRDefault="00D8172A" w:rsidP="0066162A">
      <w:pPr>
        <w:pStyle w:val="NormalWeb"/>
        <w:jc w:val="both"/>
        <w:rPr>
          <w:rFonts w:ascii="Calibri" w:hAnsi="Calibri" w:cs="Calibri"/>
          <w:sz w:val="22"/>
          <w:szCs w:val="22"/>
          <w:lang w:val="fr-FR"/>
        </w:rPr>
      </w:pPr>
      <w:r w:rsidRPr="00A82FB4">
        <w:rPr>
          <w:rFonts w:ascii="Calibri" w:hAnsi="Calibri" w:cs="Calibri"/>
          <w:sz w:val="22"/>
          <w:szCs w:val="22"/>
          <w:lang w:val="fr-FR"/>
        </w:rPr>
        <w:t xml:space="preserve">La </w:t>
      </w:r>
      <w:r w:rsidR="008F1D2D" w:rsidRPr="00A82FB4">
        <w:rPr>
          <w:rFonts w:ascii="Calibri" w:hAnsi="Calibri" w:cs="Calibri"/>
          <w:sz w:val="22"/>
          <w:szCs w:val="22"/>
          <w:lang w:val="fr-FR"/>
        </w:rPr>
        <w:t>c</w:t>
      </w:r>
      <w:r w:rsidR="00056A72" w:rsidRPr="00A82FB4">
        <w:rPr>
          <w:rFonts w:ascii="Calibri" w:hAnsi="Calibri" w:cs="Calibri"/>
          <w:sz w:val="22"/>
          <w:szCs w:val="22"/>
          <w:lang w:val="fr-FR"/>
        </w:rPr>
        <w:t>linique</w:t>
      </w:r>
      <w:r w:rsidR="00476A39" w:rsidRPr="00A82FB4">
        <w:rPr>
          <w:rFonts w:ascii="Calibri" w:hAnsi="Calibri" w:cs="Calibri"/>
          <w:sz w:val="22"/>
          <w:szCs w:val="22"/>
          <w:lang w:val="fr-FR"/>
        </w:rPr>
        <w:t xml:space="preserve"> </w:t>
      </w:r>
      <w:r w:rsidR="008F1D2D" w:rsidRPr="00A82FB4">
        <w:rPr>
          <w:rFonts w:ascii="Calibri" w:hAnsi="Calibri" w:cs="Calibri"/>
          <w:sz w:val="22"/>
          <w:szCs w:val="22"/>
          <w:lang w:val="fr-FR"/>
        </w:rPr>
        <w:t>va :</w:t>
      </w:r>
    </w:p>
    <w:p w14:paraId="3BC618DD" w14:textId="26E022F4" w:rsidR="00D8172A" w:rsidRPr="00A82FB4" w:rsidRDefault="00D8172A" w:rsidP="008F1D2D">
      <w:pPr>
        <w:pStyle w:val="NormalWeb"/>
        <w:numPr>
          <w:ilvl w:val="0"/>
          <w:numId w:val="31"/>
        </w:numPr>
        <w:jc w:val="both"/>
        <w:rPr>
          <w:rFonts w:ascii="Calibri" w:hAnsi="Calibri" w:cs="Calibri"/>
          <w:sz w:val="22"/>
          <w:szCs w:val="22"/>
          <w:lang w:val="fr-FR"/>
        </w:rPr>
      </w:pPr>
      <w:r w:rsidRPr="00A82FB4">
        <w:rPr>
          <w:rFonts w:ascii="Calibri" w:hAnsi="Calibri" w:cs="Calibri"/>
          <w:sz w:val="22"/>
          <w:szCs w:val="22"/>
          <w:lang w:val="fr-FR"/>
        </w:rPr>
        <w:t>Propose</w:t>
      </w:r>
      <w:r w:rsidR="00476A39" w:rsidRPr="00A82FB4">
        <w:rPr>
          <w:rFonts w:ascii="Calibri" w:hAnsi="Calibri" w:cs="Calibri"/>
          <w:sz w:val="22"/>
          <w:szCs w:val="22"/>
          <w:lang w:val="fr-FR"/>
        </w:rPr>
        <w:t>r</w:t>
      </w:r>
      <w:r w:rsidRPr="00A82FB4">
        <w:rPr>
          <w:rFonts w:ascii="Calibri" w:hAnsi="Calibri" w:cs="Calibri"/>
          <w:sz w:val="22"/>
          <w:szCs w:val="22"/>
          <w:lang w:val="fr-FR"/>
        </w:rPr>
        <w:t xml:space="preserve"> </w:t>
      </w:r>
      <w:r w:rsidRPr="00A82FB4">
        <w:rPr>
          <w:rStyle w:val="lev"/>
          <w:rFonts w:ascii="Calibri" w:eastAsiaTheme="majorEastAsia" w:hAnsi="Calibri" w:cs="Calibri"/>
          <w:sz w:val="22"/>
          <w:szCs w:val="22"/>
          <w:lang w:val="fr-FR"/>
        </w:rPr>
        <w:t>des sessions approfondies</w:t>
      </w:r>
      <w:r w:rsidRPr="00A82FB4">
        <w:rPr>
          <w:rFonts w:ascii="Calibri" w:hAnsi="Calibri" w:cs="Calibri"/>
          <w:sz w:val="22"/>
          <w:szCs w:val="22"/>
          <w:lang w:val="fr-FR"/>
        </w:rPr>
        <w:t xml:space="preserve"> sur les vulnérabilités </w:t>
      </w:r>
      <w:r w:rsidR="00FC30FA" w:rsidRPr="00A82FB4">
        <w:rPr>
          <w:rFonts w:ascii="Calibri" w:hAnsi="Calibri" w:cs="Calibri"/>
          <w:sz w:val="22"/>
          <w:szCs w:val="22"/>
          <w:lang w:val="fr-FR"/>
        </w:rPr>
        <w:t>de SFN</w:t>
      </w:r>
      <w:r w:rsidRPr="00A82FB4">
        <w:rPr>
          <w:rFonts w:ascii="Calibri" w:hAnsi="Calibri" w:cs="Calibri"/>
          <w:sz w:val="22"/>
          <w:szCs w:val="22"/>
          <w:lang w:val="fr-FR"/>
        </w:rPr>
        <w:t xml:space="preserve"> courantes, notamment SS7 et les défauts de signalisation, l'échange et le recyclage de la carte SIM, ainsi que les faiblesses de la sécurité des applications.</w:t>
      </w:r>
    </w:p>
    <w:p w14:paraId="39B4AABB" w14:textId="77777777" w:rsidR="00D8172A" w:rsidRPr="00A82FB4" w:rsidRDefault="00D8172A" w:rsidP="008F1D2D">
      <w:pPr>
        <w:pStyle w:val="NormalWeb"/>
        <w:numPr>
          <w:ilvl w:val="0"/>
          <w:numId w:val="31"/>
        </w:numPr>
        <w:jc w:val="both"/>
        <w:rPr>
          <w:rFonts w:ascii="Calibri" w:hAnsi="Calibri" w:cs="Calibri"/>
          <w:sz w:val="22"/>
          <w:szCs w:val="22"/>
          <w:lang w:val="fr-FR"/>
        </w:rPr>
      </w:pPr>
      <w:r w:rsidRPr="00A82FB4">
        <w:rPr>
          <w:rFonts w:ascii="Calibri" w:hAnsi="Calibri" w:cs="Calibri"/>
          <w:sz w:val="22"/>
          <w:szCs w:val="22"/>
          <w:lang w:val="fr-FR"/>
        </w:rPr>
        <w:t xml:space="preserve">Mettre en place </w:t>
      </w:r>
      <w:r w:rsidRPr="00A82FB4">
        <w:rPr>
          <w:rStyle w:val="lev"/>
          <w:rFonts w:ascii="Calibri" w:eastAsiaTheme="majorEastAsia" w:hAnsi="Calibri" w:cs="Calibri"/>
          <w:sz w:val="22"/>
          <w:szCs w:val="22"/>
          <w:lang w:val="fr-FR"/>
        </w:rPr>
        <w:t>des cadres d'assurance de la sécurité</w:t>
      </w:r>
      <w:r w:rsidRPr="00A82FB4">
        <w:rPr>
          <w:rFonts w:ascii="Calibri" w:hAnsi="Calibri" w:cs="Calibri"/>
          <w:sz w:val="22"/>
          <w:szCs w:val="22"/>
          <w:lang w:val="fr-FR"/>
        </w:rPr>
        <w:t xml:space="preserve"> pour aider les organismes de réglementation et les fournisseurs à surveiller la conformité aux contrôles de sécurité minimaux.</w:t>
      </w:r>
    </w:p>
    <w:p w14:paraId="6306969B" w14:textId="020A564C" w:rsidR="00D8172A" w:rsidRPr="00A82FB4" w:rsidRDefault="00D8172A" w:rsidP="008F1D2D">
      <w:pPr>
        <w:pStyle w:val="NormalWeb"/>
        <w:numPr>
          <w:ilvl w:val="0"/>
          <w:numId w:val="31"/>
        </w:numPr>
        <w:jc w:val="both"/>
        <w:rPr>
          <w:rFonts w:ascii="Calibri" w:hAnsi="Calibri" w:cs="Calibri"/>
          <w:sz w:val="22"/>
          <w:szCs w:val="22"/>
          <w:lang w:val="fr-FR"/>
        </w:rPr>
      </w:pPr>
      <w:r w:rsidRPr="00A82FB4">
        <w:rPr>
          <w:rStyle w:val="lev"/>
          <w:rFonts w:ascii="Calibri" w:eastAsiaTheme="majorEastAsia" w:hAnsi="Calibri" w:cs="Calibri"/>
          <w:sz w:val="22"/>
          <w:szCs w:val="22"/>
          <w:lang w:val="fr-FR"/>
        </w:rPr>
        <w:t>Présente</w:t>
      </w:r>
      <w:r w:rsidR="00FC30FA" w:rsidRPr="00A82FB4">
        <w:rPr>
          <w:rStyle w:val="lev"/>
          <w:rFonts w:ascii="Calibri" w:eastAsiaTheme="majorEastAsia" w:hAnsi="Calibri" w:cs="Calibri"/>
          <w:sz w:val="22"/>
          <w:szCs w:val="22"/>
          <w:lang w:val="fr-FR"/>
        </w:rPr>
        <w:t>r</w:t>
      </w:r>
      <w:r w:rsidRPr="00A82FB4">
        <w:rPr>
          <w:rStyle w:val="lev"/>
          <w:rFonts w:ascii="Calibri" w:eastAsiaTheme="majorEastAsia" w:hAnsi="Calibri" w:cs="Calibri"/>
          <w:sz w:val="22"/>
          <w:szCs w:val="22"/>
          <w:lang w:val="fr-FR"/>
        </w:rPr>
        <w:t xml:space="preserve"> les outils et la méthodologie du laboratoire de sécurité </w:t>
      </w:r>
      <w:r w:rsidR="00FC30FA" w:rsidRPr="00A82FB4">
        <w:rPr>
          <w:rStyle w:val="lev"/>
          <w:rFonts w:ascii="Calibri" w:eastAsiaTheme="majorEastAsia" w:hAnsi="Calibri" w:cs="Calibri"/>
          <w:sz w:val="22"/>
          <w:szCs w:val="22"/>
          <w:lang w:val="fr-FR"/>
        </w:rPr>
        <w:t>de SFN</w:t>
      </w:r>
      <w:r w:rsidRPr="00A82FB4">
        <w:rPr>
          <w:rFonts w:ascii="Calibri" w:hAnsi="Calibri" w:cs="Calibri"/>
          <w:sz w:val="22"/>
          <w:szCs w:val="22"/>
          <w:lang w:val="fr-FR"/>
        </w:rPr>
        <w:t xml:space="preserve">, y compris la manière dont les régulateurs et les fournisseurs peuvent effectuer des évaluations de sécurité pratiques des applications </w:t>
      </w:r>
      <w:r w:rsidR="008147CD" w:rsidRPr="00A82FB4">
        <w:rPr>
          <w:rFonts w:ascii="Calibri" w:hAnsi="Calibri" w:cs="Calibri"/>
          <w:sz w:val="22"/>
          <w:szCs w:val="22"/>
          <w:lang w:val="fr-FR"/>
        </w:rPr>
        <w:t>de SFN</w:t>
      </w:r>
      <w:r w:rsidRPr="00A82FB4">
        <w:rPr>
          <w:rFonts w:ascii="Calibri" w:hAnsi="Calibri" w:cs="Calibri"/>
          <w:sz w:val="22"/>
          <w:szCs w:val="22"/>
          <w:lang w:val="fr-FR"/>
        </w:rPr>
        <w:t xml:space="preserve"> exécutées sur USSD, STK, Android, iOS pour évaluer la conformité aux recommandations de </w:t>
      </w:r>
      <w:hyperlink r:id="rId18" w:history="1">
        <w:r w:rsidRPr="00A82FB4">
          <w:rPr>
            <w:rStyle w:val="Lienhypertexte"/>
            <w:rFonts w:ascii="Calibri" w:hAnsi="Calibri" w:cs="Calibri"/>
            <w:sz w:val="22"/>
            <w:szCs w:val="22"/>
            <w:lang w:val="fr-FR"/>
          </w:rPr>
          <w:t xml:space="preserve">sécurité </w:t>
        </w:r>
        <w:r w:rsidR="008147CD" w:rsidRPr="00A82FB4">
          <w:rPr>
            <w:rStyle w:val="Lienhypertexte"/>
            <w:rFonts w:ascii="Calibri" w:hAnsi="Calibri" w:cs="Calibri"/>
            <w:sz w:val="22"/>
            <w:szCs w:val="22"/>
            <w:lang w:val="fr-FR"/>
          </w:rPr>
          <w:t>des SFN</w:t>
        </w:r>
        <w:r w:rsidRPr="00A82FB4">
          <w:rPr>
            <w:rStyle w:val="Lienhypertexte"/>
            <w:rFonts w:ascii="Calibri" w:hAnsi="Calibri" w:cs="Calibri"/>
            <w:sz w:val="22"/>
            <w:szCs w:val="22"/>
            <w:lang w:val="fr-FR"/>
          </w:rPr>
          <w:t>.</w:t>
        </w:r>
      </w:hyperlink>
    </w:p>
    <w:p w14:paraId="0ECCADE0" w14:textId="31C3F8D1" w:rsidR="00D8172A" w:rsidRPr="00A82FB4" w:rsidRDefault="00D8172A" w:rsidP="008F1D2D">
      <w:pPr>
        <w:pStyle w:val="NormalWeb"/>
        <w:numPr>
          <w:ilvl w:val="0"/>
          <w:numId w:val="31"/>
        </w:numPr>
        <w:jc w:val="both"/>
        <w:rPr>
          <w:rFonts w:ascii="Calibri" w:hAnsi="Calibri" w:cs="Calibri"/>
          <w:sz w:val="22"/>
          <w:szCs w:val="22"/>
          <w:lang w:val="fr-FR"/>
        </w:rPr>
      </w:pPr>
      <w:r w:rsidRPr="00A82FB4">
        <w:rPr>
          <w:rFonts w:ascii="Calibri" w:hAnsi="Calibri" w:cs="Calibri"/>
          <w:sz w:val="22"/>
          <w:szCs w:val="22"/>
          <w:lang w:val="fr-FR"/>
        </w:rPr>
        <w:t>Aborde</w:t>
      </w:r>
      <w:r w:rsidR="008147CD" w:rsidRPr="00A82FB4">
        <w:rPr>
          <w:rFonts w:ascii="Calibri" w:hAnsi="Calibri" w:cs="Calibri"/>
          <w:sz w:val="22"/>
          <w:szCs w:val="22"/>
          <w:lang w:val="fr-FR"/>
        </w:rPr>
        <w:t>r</w:t>
      </w:r>
      <w:r w:rsidRPr="00A82FB4">
        <w:rPr>
          <w:rFonts w:ascii="Calibri" w:hAnsi="Calibri" w:cs="Calibri"/>
          <w:sz w:val="22"/>
          <w:szCs w:val="22"/>
          <w:lang w:val="fr-FR"/>
        </w:rPr>
        <w:t xml:space="preserve"> la </w:t>
      </w:r>
      <w:r w:rsidRPr="00A82FB4">
        <w:rPr>
          <w:rStyle w:val="lev"/>
          <w:rFonts w:ascii="Calibri" w:eastAsiaTheme="majorEastAsia" w:hAnsi="Calibri" w:cs="Calibri"/>
          <w:sz w:val="22"/>
          <w:szCs w:val="22"/>
          <w:lang w:val="fr-FR"/>
        </w:rPr>
        <w:t>cyberrésilience et la réponse aux incidents</w:t>
      </w:r>
      <w:r w:rsidRPr="00A82FB4">
        <w:rPr>
          <w:rFonts w:ascii="Calibri" w:hAnsi="Calibri" w:cs="Calibri"/>
          <w:b/>
          <w:bCs/>
          <w:sz w:val="22"/>
          <w:szCs w:val="22"/>
          <w:lang w:val="fr-FR"/>
        </w:rPr>
        <w:t>,</w:t>
      </w:r>
      <w:r w:rsidRPr="00A82FB4">
        <w:rPr>
          <w:rFonts w:ascii="Calibri" w:hAnsi="Calibri" w:cs="Calibri"/>
          <w:sz w:val="22"/>
          <w:szCs w:val="22"/>
          <w:lang w:val="fr-FR"/>
        </w:rPr>
        <w:t xml:space="preserve"> en aidant les pays à renforcer la préparation, la détection et le rétablissement en cas de cyberincidents liés aux SFN.</w:t>
      </w:r>
    </w:p>
    <w:p w14:paraId="5D371DA0" w14:textId="176D6BC9" w:rsidR="00D8172A" w:rsidRPr="00A82FB4" w:rsidRDefault="00D8172A" w:rsidP="008F1D2D">
      <w:pPr>
        <w:pStyle w:val="NormalWeb"/>
        <w:numPr>
          <w:ilvl w:val="0"/>
          <w:numId w:val="31"/>
        </w:numPr>
        <w:jc w:val="both"/>
        <w:rPr>
          <w:rFonts w:ascii="Calibri" w:hAnsi="Calibri" w:cs="Calibri"/>
          <w:sz w:val="22"/>
          <w:szCs w:val="22"/>
          <w:lang w:val="fr-FR"/>
        </w:rPr>
      </w:pPr>
      <w:r w:rsidRPr="00A82FB4">
        <w:rPr>
          <w:rFonts w:ascii="Calibri" w:hAnsi="Calibri" w:cs="Calibri"/>
          <w:sz w:val="22"/>
          <w:szCs w:val="22"/>
          <w:lang w:val="fr-FR"/>
        </w:rPr>
        <w:t xml:space="preserve">Discuter </w:t>
      </w:r>
      <w:r w:rsidRPr="00A82FB4">
        <w:rPr>
          <w:rStyle w:val="lev"/>
          <w:rFonts w:ascii="Calibri" w:eastAsiaTheme="majorEastAsia" w:hAnsi="Calibri" w:cs="Calibri"/>
          <w:sz w:val="22"/>
          <w:szCs w:val="22"/>
          <w:lang w:val="fr-FR"/>
        </w:rPr>
        <w:t>des implications politiques et réglementaires</w:t>
      </w:r>
      <w:r w:rsidRPr="00A82FB4">
        <w:rPr>
          <w:rFonts w:ascii="Calibri" w:hAnsi="Calibri" w:cs="Calibri"/>
          <w:sz w:val="22"/>
          <w:szCs w:val="22"/>
          <w:lang w:val="fr-FR"/>
        </w:rPr>
        <w:t xml:space="preserve">, y compris la coopération </w:t>
      </w:r>
      <w:r w:rsidR="008147CD" w:rsidRPr="00A82FB4">
        <w:rPr>
          <w:rFonts w:ascii="Calibri" w:hAnsi="Calibri" w:cs="Calibri"/>
          <w:sz w:val="22"/>
          <w:szCs w:val="22"/>
          <w:lang w:val="fr-FR"/>
        </w:rPr>
        <w:t>inter institutions</w:t>
      </w:r>
      <w:r w:rsidRPr="00A82FB4">
        <w:rPr>
          <w:rFonts w:ascii="Calibri" w:hAnsi="Calibri" w:cs="Calibri"/>
          <w:sz w:val="22"/>
          <w:szCs w:val="22"/>
          <w:lang w:val="fr-FR"/>
        </w:rPr>
        <w:t xml:space="preserve"> entre les organismes de réglementation des télécommunications, les banques centrales et les organismes de protection des consommateurs.</w:t>
      </w:r>
    </w:p>
    <w:p w14:paraId="26786642" w14:textId="0B214B2D" w:rsidR="00D8172A" w:rsidRPr="00A82FB4" w:rsidRDefault="008147CD" w:rsidP="00476A39">
      <w:pPr>
        <w:pStyle w:val="NormalWeb"/>
        <w:numPr>
          <w:ilvl w:val="0"/>
          <w:numId w:val="31"/>
        </w:numPr>
        <w:jc w:val="both"/>
        <w:rPr>
          <w:rFonts w:ascii="Calibri" w:hAnsi="Calibri" w:cs="Calibri"/>
          <w:sz w:val="22"/>
          <w:szCs w:val="22"/>
          <w:lang w:val="fr-FR"/>
        </w:rPr>
      </w:pPr>
      <w:r w:rsidRPr="00A82FB4">
        <w:rPr>
          <w:rFonts w:ascii="Calibri" w:hAnsi="Calibri" w:cs="Calibri"/>
          <w:sz w:val="22"/>
          <w:szCs w:val="22"/>
          <w:lang w:val="fr-FR"/>
        </w:rPr>
        <w:t>Inclure des</w:t>
      </w:r>
      <w:r w:rsidR="00D8172A" w:rsidRPr="00A82FB4">
        <w:rPr>
          <w:rFonts w:ascii="Calibri" w:hAnsi="Calibri" w:cs="Calibri"/>
          <w:sz w:val="22"/>
          <w:szCs w:val="22"/>
          <w:lang w:val="fr-FR"/>
        </w:rPr>
        <w:t xml:space="preserve"> </w:t>
      </w:r>
      <w:r w:rsidR="00D8172A" w:rsidRPr="00A82FB4">
        <w:rPr>
          <w:rStyle w:val="lev"/>
          <w:rFonts w:ascii="Calibri" w:eastAsiaTheme="majorEastAsia" w:hAnsi="Calibri" w:cs="Calibri"/>
          <w:sz w:val="22"/>
          <w:szCs w:val="22"/>
          <w:lang w:val="fr-FR"/>
        </w:rPr>
        <w:t>stratégies de protection et de sensibilisation des consommateurs</w:t>
      </w:r>
      <w:r w:rsidR="00D8172A" w:rsidRPr="00A82FB4">
        <w:rPr>
          <w:rFonts w:ascii="Calibri" w:hAnsi="Calibri" w:cs="Calibri"/>
          <w:b/>
          <w:bCs/>
          <w:sz w:val="22"/>
          <w:szCs w:val="22"/>
          <w:lang w:val="fr-FR"/>
        </w:rPr>
        <w:t>,</w:t>
      </w:r>
      <w:r w:rsidR="00D8172A" w:rsidRPr="00A82FB4">
        <w:rPr>
          <w:rFonts w:ascii="Calibri" w:hAnsi="Calibri" w:cs="Calibri"/>
          <w:sz w:val="22"/>
          <w:szCs w:val="22"/>
          <w:lang w:val="fr-FR"/>
        </w:rPr>
        <w:t xml:space="preserve"> en dotant les décideurs politiques d'outils pour concevoir des programmes d'éducation et d'alphabétisation visant à renforcer la confiance du public.</w:t>
      </w:r>
    </w:p>
    <w:p w14:paraId="1168D6D1" w14:textId="557B3B79" w:rsidR="008F1D2D" w:rsidRPr="00A82FB4" w:rsidRDefault="008F1D2D" w:rsidP="008F1D2D">
      <w:pPr>
        <w:pStyle w:val="NormalWeb"/>
        <w:numPr>
          <w:ilvl w:val="0"/>
          <w:numId w:val="31"/>
        </w:numPr>
        <w:jc w:val="both"/>
        <w:rPr>
          <w:rFonts w:ascii="Calibri" w:hAnsi="Calibri" w:cs="Calibri"/>
          <w:sz w:val="22"/>
          <w:szCs w:val="22"/>
          <w:lang w:val="fr-FR"/>
        </w:rPr>
      </w:pPr>
      <w:r w:rsidRPr="00A82FB4">
        <w:rPr>
          <w:rFonts w:ascii="Calibri" w:hAnsi="Calibri" w:cs="Calibri"/>
          <w:lang w:val="fr-FR"/>
        </w:rPr>
        <w:t xml:space="preserve">Guider les participants dans l'élaboration </w:t>
      </w:r>
      <w:r w:rsidRPr="00A82FB4">
        <w:rPr>
          <w:rStyle w:val="lev"/>
          <w:rFonts w:ascii="Calibri" w:eastAsiaTheme="majorEastAsia" w:hAnsi="Calibri" w:cs="Calibri"/>
          <w:lang w:val="fr-FR"/>
        </w:rPr>
        <w:t>de feuilles de route d'action au niveau national</w:t>
      </w:r>
      <w:r w:rsidRPr="00A82FB4">
        <w:rPr>
          <w:rFonts w:ascii="Calibri" w:hAnsi="Calibri" w:cs="Calibri"/>
          <w:lang w:val="fr-FR"/>
        </w:rPr>
        <w:t xml:space="preserve"> en vue de l'adoption et de la mise en œuvre des Recommandations de sécurité de l'UIT sur la science-sédimentation, en vue d'une adoption régionale harmonisée dans le cadre de l’ARTAC</w:t>
      </w:r>
      <w:r w:rsidR="0004417D" w:rsidRPr="00A82FB4">
        <w:rPr>
          <w:rFonts w:ascii="Calibri" w:hAnsi="Calibri" w:cs="Calibri"/>
          <w:lang w:val="fr-FR"/>
        </w:rPr>
        <w:t>.</w:t>
      </w:r>
    </w:p>
    <w:p w14:paraId="23F334DC" w14:textId="1A59E499" w:rsidR="00DC0E7E" w:rsidRPr="00A82FB4" w:rsidRDefault="00DC0E7E" w:rsidP="00FB6AE4">
      <w:pPr>
        <w:pStyle w:val="NormalWeb"/>
        <w:jc w:val="both"/>
        <w:rPr>
          <w:rFonts w:ascii="Calibri" w:hAnsi="Calibri" w:cs="Calibri"/>
          <w:b/>
          <w:bCs/>
          <w:sz w:val="22"/>
          <w:szCs w:val="22"/>
          <w:lang w:val="fr-FR"/>
        </w:rPr>
      </w:pPr>
      <w:r w:rsidRPr="00A82FB4">
        <w:rPr>
          <w:rFonts w:ascii="Calibri" w:hAnsi="Calibri" w:cs="Calibri"/>
          <w:b/>
          <w:bCs/>
          <w:sz w:val="22"/>
          <w:szCs w:val="22"/>
          <w:lang w:val="fr-FR"/>
        </w:rPr>
        <w:t>Audience</w:t>
      </w:r>
      <w:r w:rsidR="00814CBA" w:rsidRPr="00A82FB4">
        <w:rPr>
          <w:rFonts w:ascii="Calibri" w:hAnsi="Calibri" w:cs="Calibri"/>
          <w:b/>
          <w:bCs/>
          <w:sz w:val="22"/>
          <w:szCs w:val="22"/>
          <w:lang w:val="fr-FR"/>
        </w:rPr>
        <w:t xml:space="preserve"> Cible </w:t>
      </w:r>
    </w:p>
    <w:p w14:paraId="443FA5E0" w14:textId="3C313341" w:rsidR="00DC0E7E" w:rsidRPr="00A82FB4" w:rsidRDefault="00DC0E7E" w:rsidP="00FB6AE4">
      <w:pPr>
        <w:pStyle w:val="NormalWeb"/>
        <w:jc w:val="both"/>
        <w:rPr>
          <w:rFonts w:ascii="Calibri" w:hAnsi="Calibri" w:cs="Calibri"/>
          <w:b/>
          <w:bCs/>
          <w:sz w:val="22"/>
          <w:szCs w:val="22"/>
          <w:lang w:val="fr-FR"/>
        </w:rPr>
      </w:pPr>
      <w:r w:rsidRPr="00A82FB4">
        <w:rPr>
          <w:rFonts w:ascii="Calibri" w:hAnsi="Calibri" w:cs="Calibri"/>
          <w:sz w:val="22"/>
          <w:szCs w:val="22"/>
          <w:lang w:val="fr-FR"/>
        </w:rPr>
        <w:t>La clinique de sécurité</w:t>
      </w:r>
      <w:r w:rsidR="00814CBA" w:rsidRPr="00A82FB4">
        <w:rPr>
          <w:rFonts w:ascii="Calibri" w:hAnsi="Calibri" w:cs="Calibri"/>
          <w:sz w:val="22"/>
          <w:szCs w:val="22"/>
          <w:lang w:val="fr-FR"/>
        </w:rPr>
        <w:t xml:space="preserve"> de</w:t>
      </w:r>
      <w:r w:rsidR="006A1775" w:rsidRPr="00A82FB4">
        <w:rPr>
          <w:rFonts w:ascii="Calibri" w:hAnsi="Calibri" w:cs="Calibri"/>
          <w:sz w:val="22"/>
          <w:szCs w:val="22"/>
          <w:lang w:val="fr-FR"/>
        </w:rPr>
        <w:t xml:space="preserve"> SFN</w:t>
      </w:r>
      <w:r w:rsidRPr="00A82FB4">
        <w:rPr>
          <w:rFonts w:ascii="Calibri" w:hAnsi="Calibri" w:cs="Calibri"/>
          <w:sz w:val="22"/>
          <w:szCs w:val="22"/>
          <w:lang w:val="fr-FR"/>
        </w:rPr>
        <w:t xml:space="preserve"> réunira des régulateurs des télécommunications/TIC et des SFN, des opérateurs de réseaux mobiles, des fournisseurs de services financiers et d'autres parties prenantes des pays ARTAC dans le cadre d'un</w:t>
      </w:r>
      <w:r w:rsidRPr="00A82FB4">
        <w:rPr>
          <w:rStyle w:val="lev"/>
          <w:rFonts w:ascii="Calibri" w:eastAsiaTheme="majorEastAsia" w:hAnsi="Calibri" w:cs="Calibri"/>
          <w:sz w:val="22"/>
          <w:szCs w:val="22"/>
          <w:lang w:val="fr-FR"/>
        </w:rPr>
        <w:t xml:space="preserve"> programme interactif </w:t>
      </w:r>
      <w:r w:rsidRPr="00A82FB4">
        <w:rPr>
          <w:rFonts w:ascii="Calibri" w:hAnsi="Calibri" w:cs="Calibri"/>
          <w:sz w:val="22"/>
          <w:szCs w:val="22"/>
          <w:lang w:val="fr-FR"/>
        </w:rPr>
        <w:t xml:space="preserve">conçu pour présenter, expliquer et opérationnaliser la mise en œuvre des </w:t>
      </w:r>
      <w:hyperlink r:id="rId19" w:history="1">
        <w:r w:rsidRPr="00A82FB4">
          <w:rPr>
            <w:rStyle w:val="Lienhypertexte"/>
            <w:rFonts w:ascii="Calibri" w:hAnsi="Calibri" w:cs="Calibri"/>
            <w:sz w:val="22"/>
            <w:szCs w:val="22"/>
            <w:lang w:val="fr-FR"/>
          </w:rPr>
          <w:t xml:space="preserve">Recommandations de sécurité </w:t>
        </w:r>
        <w:r w:rsidR="006A1775" w:rsidRPr="00A82FB4">
          <w:rPr>
            <w:rStyle w:val="Lienhypertexte"/>
            <w:rFonts w:ascii="Calibri" w:hAnsi="Calibri" w:cs="Calibri"/>
            <w:sz w:val="22"/>
            <w:szCs w:val="22"/>
            <w:lang w:val="fr-FR"/>
          </w:rPr>
          <w:t>de SFN</w:t>
        </w:r>
        <w:r w:rsidRPr="00A82FB4">
          <w:rPr>
            <w:rStyle w:val="Lienhypertexte"/>
            <w:rFonts w:ascii="Calibri" w:hAnsi="Calibri" w:cs="Calibri"/>
            <w:sz w:val="22"/>
            <w:szCs w:val="22"/>
            <w:lang w:val="fr-FR"/>
          </w:rPr>
          <w:t xml:space="preserve"> de l'UIT</w:t>
        </w:r>
      </w:hyperlink>
    </w:p>
    <w:p w14:paraId="58CB66ED" w14:textId="77777777" w:rsidR="00DC0E7E" w:rsidRPr="00A82FB4" w:rsidRDefault="00DC0E7E" w:rsidP="00FB6AE4">
      <w:pPr>
        <w:pStyle w:val="Titre3"/>
        <w:jc w:val="both"/>
        <w:rPr>
          <w:rFonts w:ascii="Calibri" w:hAnsi="Calibri" w:cs="Calibri"/>
          <w:b/>
          <w:bCs/>
          <w:color w:val="000000" w:themeColor="text1"/>
          <w:sz w:val="22"/>
          <w:szCs w:val="22"/>
          <w:lang w:val="fr-FR"/>
        </w:rPr>
      </w:pPr>
      <w:r w:rsidRPr="00A82FB4">
        <w:rPr>
          <w:rFonts w:ascii="Calibri" w:hAnsi="Calibri" w:cs="Calibri"/>
          <w:b/>
          <w:bCs/>
          <w:color w:val="000000" w:themeColor="text1"/>
          <w:sz w:val="22"/>
          <w:szCs w:val="22"/>
          <w:lang w:val="fr-FR"/>
        </w:rPr>
        <w:t>Résultats attendus</w:t>
      </w:r>
    </w:p>
    <w:p w14:paraId="0E388929" w14:textId="77777777" w:rsidR="00DC0E7E" w:rsidRPr="00A82FB4" w:rsidRDefault="00DC0E7E" w:rsidP="006A1775">
      <w:pPr>
        <w:pStyle w:val="NormalWeb"/>
        <w:numPr>
          <w:ilvl w:val="0"/>
          <w:numId w:val="35"/>
        </w:numPr>
        <w:jc w:val="both"/>
        <w:rPr>
          <w:rFonts w:ascii="Calibri" w:hAnsi="Calibri" w:cs="Calibri"/>
          <w:sz w:val="22"/>
          <w:szCs w:val="22"/>
          <w:lang w:val="fr-FR"/>
        </w:rPr>
      </w:pPr>
      <w:r w:rsidRPr="00A82FB4">
        <w:rPr>
          <w:rStyle w:val="lev"/>
          <w:rFonts w:ascii="Calibri" w:eastAsiaTheme="majorEastAsia" w:hAnsi="Calibri" w:cs="Calibri"/>
          <w:sz w:val="22"/>
          <w:szCs w:val="22"/>
          <w:lang w:val="fr-FR"/>
        </w:rPr>
        <w:t>Introduction et familiarisation</w:t>
      </w:r>
      <w:r w:rsidRPr="00A82FB4">
        <w:rPr>
          <w:rFonts w:ascii="Calibri" w:hAnsi="Calibri" w:cs="Calibri"/>
          <w:sz w:val="22"/>
          <w:szCs w:val="22"/>
          <w:lang w:val="fr-FR"/>
        </w:rPr>
        <w:t xml:space="preserve"> des parties prenantes de l'ARTAC avec l'UIT-T X.1277.2 et l'UIT-T X.1456.</w:t>
      </w:r>
    </w:p>
    <w:p w14:paraId="29F2B56D" w14:textId="77777777" w:rsidR="00DC0E7E" w:rsidRPr="00A82FB4" w:rsidRDefault="00DC0E7E" w:rsidP="006A1775">
      <w:pPr>
        <w:pStyle w:val="NormalWeb"/>
        <w:numPr>
          <w:ilvl w:val="0"/>
          <w:numId w:val="35"/>
        </w:numPr>
        <w:jc w:val="both"/>
        <w:rPr>
          <w:rFonts w:ascii="Calibri" w:hAnsi="Calibri" w:cs="Calibri"/>
          <w:sz w:val="22"/>
          <w:szCs w:val="22"/>
          <w:lang w:val="fr-FR"/>
        </w:rPr>
      </w:pPr>
      <w:r w:rsidRPr="00A82FB4">
        <w:rPr>
          <w:rStyle w:val="lev"/>
          <w:rFonts w:ascii="Calibri" w:eastAsiaTheme="majorEastAsia" w:hAnsi="Calibri" w:cs="Calibri"/>
          <w:sz w:val="22"/>
          <w:szCs w:val="22"/>
          <w:lang w:val="fr-FR"/>
        </w:rPr>
        <w:t>Lancement de l'adoption régionale</w:t>
      </w:r>
      <w:r w:rsidRPr="00A82FB4">
        <w:rPr>
          <w:rFonts w:ascii="Calibri" w:hAnsi="Calibri" w:cs="Calibri"/>
          <w:sz w:val="22"/>
          <w:szCs w:val="22"/>
          <w:lang w:val="fr-FR"/>
        </w:rPr>
        <w:t xml:space="preserve"> des recommandations de sécurité DFS au sein de l'ARTAC, complétant les adoptions déjà réalisées par la CRASA et l'EACO.</w:t>
      </w:r>
    </w:p>
    <w:p w14:paraId="5F26CDAB" w14:textId="77777777" w:rsidR="00DC0E7E" w:rsidRPr="00A82FB4" w:rsidRDefault="00DC0E7E" w:rsidP="006A1775">
      <w:pPr>
        <w:pStyle w:val="NormalWeb"/>
        <w:numPr>
          <w:ilvl w:val="0"/>
          <w:numId w:val="35"/>
        </w:numPr>
        <w:jc w:val="both"/>
        <w:rPr>
          <w:rFonts w:ascii="Calibri" w:hAnsi="Calibri" w:cs="Calibri"/>
          <w:sz w:val="22"/>
          <w:szCs w:val="22"/>
          <w:lang w:val="fr-FR"/>
        </w:rPr>
      </w:pPr>
      <w:r w:rsidRPr="00A82FB4">
        <w:rPr>
          <w:rStyle w:val="lev"/>
          <w:rFonts w:ascii="Calibri" w:eastAsiaTheme="majorEastAsia" w:hAnsi="Calibri" w:cs="Calibri"/>
          <w:sz w:val="22"/>
          <w:szCs w:val="22"/>
          <w:lang w:val="fr-FR"/>
        </w:rPr>
        <w:t>Amélioration de la sensibilisation et de la capacité technique</w:t>
      </w:r>
      <w:r w:rsidRPr="00A82FB4">
        <w:rPr>
          <w:rFonts w:ascii="Calibri" w:hAnsi="Calibri" w:cs="Calibri"/>
          <w:sz w:val="22"/>
          <w:szCs w:val="22"/>
          <w:lang w:val="fr-FR"/>
        </w:rPr>
        <w:t xml:space="preserve"> des organismes de réglementation, des opérateurs et des fournisseurs de services financiers numériques pour identifier et atténuer les risques de sécurité.</w:t>
      </w:r>
    </w:p>
    <w:p w14:paraId="6EAD065D" w14:textId="77777777" w:rsidR="00DC0E7E" w:rsidRPr="00A82FB4" w:rsidRDefault="00DC0E7E" w:rsidP="006A1775">
      <w:pPr>
        <w:pStyle w:val="NormalWeb"/>
        <w:numPr>
          <w:ilvl w:val="0"/>
          <w:numId w:val="35"/>
        </w:numPr>
        <w:jc w:val="both"/>
        <w:rPr>
          <w:rFonts w:ascii="Calibri" w:hAnsi="Calibri" w:cs="Calibri"/>
          <w:sz w:val="22"/>
          <w:szCs w:val="22"/>
          <w:lang w:val="fr-FR"/>
        </w:rPr>
      </w:pPr>
      <w:r w:rsidRPr="00A82FB4">
        <w:rPr>
          <w:rStyle w:val="lev"/>
          <w:rFonts w:ascii="Calibri" w:eastAsiaTheme="majorEastAsia" w:hAnsi="Calibri" w:cs="Calibri"/>
          <w:sz w:val="22"/>
          <w:szCs w:val="22"/>
          <w:lang w:val="fr-FR"/>
        </w:rPr>
        <w:t>Renforcement de la collaboration</w:t>
      </w:r>
      <w:r w:rsidRPr="00A82FB4">
        <w:rPr>
          <w:rFonts w:ascii="Calibri" w:hAnsi="Calibri" w:cs="Calibri"/>
          <w:sz w:val="22"/>
          <w:szCs w:val="22"/>
          <w:lang w:val="fr-FR"/>
        </w:rPr>
        <w:t xml:space="preserve"> entre les pays de l'ARTAC en matière de surveillance, de supervision et d'échange d'information en matière de sécurité.</w:t>
      </w:r>
    </w:p>
    <w:p w14:paraId="18963B66" w14:textId="76D94534" w:rsidR="008041F6" w:rsidRPr="00A82FB4" w:rsidRDefault="00DC0E7E" w:rsidP="00AF37A2">
      <w:pPr>
        <w:pStyle w:val="NormalWeb"/>
        <w:numPr>
          <w:ilvl w:val="0"/>
          <w:numId w:val="35"/>
        </w:numPr>
        <w:jc w:val="both"/>
        <w:rPr>
          <w:rFonts w:ascii="Calibri" w:hAnsi="Calibri" w:cs="Calibri"/>
          <w:lang w:val="fr-FR"/>
        </w:rPr>
      </w:pPr>
      <w:r w:rsidRPr="00A82FB4">
        <w:rPr>
          <w:rFonts w:ascii="Calibri" w:hAnsi="Calibri" w:cs="Calibri"/>
          <w:sz w:val="22"/>
          <w:szCs w:val="22"/>
          <w:lang w:val="fr-FR"/>
        </w:rPr>
        <w:t xml:space="preserve">Mise en place d'une </w:t>
      </w:r>
      <w:r w:rsidRPr="00A82FB4">
        <w:rPr>
          <w:rStyle w:val="lev"/>
          <w:rFonts w:ascii="Calibri" w:eastAsiaTheme="majorEastAsia" w:hAnsi="Calibri" w:cs="Calibri"/>
          <w:sz w:val="22"/>
          <w:szCs w:val="22"/>
          <w:lang w:val="fr-FR"/>
        </w:rPr>
        <w:t xml:space="preserve">plateforme régionale d'échange de </w:t>
      </w:r>
      <w:r w:rsidR="006A1775" w:rsidRPr="00A82FB4">
        <w:rPr>
          <w:rStyle w:val="lev"/>
          <w:rFonts w:ascii="Calibri" w:eastAsiaTheme="majorEastAsia" w:hAnsi="Calibri" w:cs="Calibri"/>
          <w:sz w:val="22"/>
          <w:szCs w:val="22"/>
          <w:lang w:val="fr-FR"/>
        </w:rPr>
        <w:t xml:space="preserve">connaissances </w:t>
      </w:r>
      <w:r w:rsidR="006A1775" w:rsidRPr="00A82FB4">
        <w:rPr>
          <w:rFonts w:ascii="Calibri" w:hAnsi="Calibri" w:cs="Calibri"/>
          <w:sz w:val="22"/>
          <w:szCs w:val="22"/>
          <w:lang w:val="fr-FR"/>
        </w:rPr>
        <w:t>pour</w:t>
      </w:r>
      <w:r w:rsidRPr="00A82FB4">
        <w:rPr>
          <w:rFonts w:ascii="Calibri" w:hAnsi="Calibri" w:cs="Calibri"/>
          <w:sz w:val="22"/>
          <w:szCs w:val="22"/>
          <w:lang w:val="fr-FR"/>
        </w:rPr>
        <w:t xml:space="preserve"> soutenir la mise en œuvre continue et la coopération au-delà de la clinique.</w:t>
      </w:r>
      <w:r w:rsidR="008041F6" w:rsidRPr="00A82FB4">
        <w:rPr>
          <w:rFonts w:ascii="Calibri" w:hAnsi="Calibri" w:cs="Calibri"/>
          <w:lang w:val="fr-FR"/>
        </w:rPr>
        <w:br w:type="page"/>
      </w:r>
    </w:p>
    <w:p w14:paraId="56718741" w14:textId="561903B5" w:rsidR="008041F6" w:rsidRPr="00A82FB4" w:rsidRDefault="008041F6" w:rsidP="008041F6">
      <w:pPr>
        <w:pStyle w:val="NormalWeb"/>
        <w:jc w:val="both"/>
        <w:rPr>
          <w:rFonts w:ascii="Calibri" w:hAnsi="Calibri" w:cs="Calibri"/>
          <w:sz w:val="22"/>
          <w:szCs w:val="22"/>
          <w:lang w:val="fr-FR"/>
        </w:rPr>
      </w:pPr>
      <w:r w:rsidRPr="00A82FB4">
        <w:rPr>
          <w:rFonts w:ascii="Calibri" w:hAnsi="Calibri" w:cs="Calibri"/>
          <w:sz w:val="22"/>
          <w:szCs w:val="22"/>
          <w:lang w:val="fr-FR"/>
        </w:rPr>
        <w:lastRenderedPageBreak/>
        <w:t>Annex</w:t>
      </w:r>
      <w:r w:rsidR="00C67CA0" w:rsidRPr="00A82FB4">
        <w:rPr>
          <w:rFonts w:ascii="Calibri" w:hAnsi="Calibri" w:cs="Calibri"/>
          <w:sz w:val="22"/>
          <w:szCs w:val="22"/>
          <w:lang w:val="fr-FR"/>
        </w:rPr>
        <w:t>e</w:t>
      </w:r>
      <w:r w:rsidRPr="00A82FB4">
        <w:rPr>
          <w:rFonts w:ascii="Calibri" w:hAnsi="Calibri" w:cs="Calibri"/>
          <w:sz w:val="22"/>
          <w:szCs w:val="22"/>
          <w:lang w:val="fr-FR"/>
        </w:rPr>
        <w:t xml:space="preserve"> </w:t>
      </w:r>
      <w:r w:rsidR="00C55983" w:rsidRPr="00A82FB4">
        <w:rPr>
          <w:rFonts w:ascii="Calibri" w:hAnsi="Calibri" w:cs="Calibri"/>
          <w:sz w:val="22"/>
          <w:szCs w:val="22"/>
          <w:lang w:val="fr-FR"/>
        </w:rPr>
        <w:t>A :</w:t>
      </w:r>
      <w:r w:rsidRPr="00A82FB4">
        <w:rPr>
          <w:rFonts w:ascii="Calibri" w:hAnsi="Calibri" w:cs="Calibri"/>
          <w:sz w:val="22"/>
          <w:szCs w:val="22"/>
          <w:lang w:val="fr-FR"/>
        </w:rPr>
        <w:t xml:space="preserve"> </w:t>
      </w:r>
      <w:r w:rsidR="00C67CA0" w:rsidRPr="00A82FB4">
        <w:rPr>
          <w:rFonts w:ascii="Calibri" w:hAnsi="Calibri" w:cs="Calibri"/>
          <w:lang w:val="fr-FR"/>
        </w:rPr>
        <w:t xml:space="preserve">Projet de programme de la clinique de sécurité </w:t>
      </w:r>
      <w:r w:rsidR="00C67CA0" w:rsidRPr="00A82FB4">
        <w:rPr>
          <w:rFonts w:ascii="Calibri" w:hAnsi="Calibri" w:cs="Calibri"/>
          <w:sz w:val="22"/>
          <w:szCs w:val="22"/>
          <w:lang w:val="fr-FR"/>
        </w:rPr>
        <w:t>de SFN</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7709"/>
      </w:tblGrid>
      <w:tr w:rsidR="008041F6" w:rsidRPr="00A82FB4" w14:paraId="35826E34" w14:textId="77777777" w:rsidTr="00D51A3E">
        <w:trPr>
          <w:trHeight w:val="300"/>
        </w:trPr>
        <w:tc>
          <w:tcPr>
            <w:tcW w:w="9780" w:type="dxa"/>
            <w:gridSpan w:val="2"/>
            <w:tcBorders>
              <w:top w:val="single" w:sz="6" w:space="0" w:color="auto"/>
              <w:left w:val="single" w:sz="6" w:space="0" w:color="auto"/>
              <w:bottom w:val="single" w:sz="12" w:space="0" w:color="auto"/>
              <w:right w:val="single" w:sz="6" w:space="0" w:color="auto"/>
            </w:tcBorders>
            <w:shd w:val="clear" w:color="auto" w:fill="000000"/>
            <w:vAlign w:val="center"/>
            <w:hideMark/>
          </w:tcPr>
          <w:p w14:paraId="5C5EA23A" w14:textId="39B7F802" w:rsidR="008041F6" w:rsidRPr="00A82FB4" w:rsidRDefault="00C55983" w:rsidP="00D51A3E">
            <w:pPr>
              <w:spacing w:after="0" w:line="240" w:lineRule="auto"/>
              <w:jc w:val="center"/>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Date :</w:t>
            </w:r>
            <w:r w:rsidR="008041F6" w:rsidRPr="00A82FB4">
              <w:rPr>
                <w:rFonts w:ascii="Calibri" w:eastAsia="Times New Roman" w:hAnsi="Calibri" w:cs="Calibri"/>
                <w:b/>
                <w:bCs/>
                <w:kern w:val="0"/>
                <w:lang w:val="fr-FR" w:eastAsia="zh-CN"/>
                <w14:ligatures w14:val="none"/>
              </w:rPr>
              <w:t xml:space="preserve"> TBC</w:t>
            </w:r>
            <w:r w:rsidR="008041F6" w:rsidRPr="00A82FB4">
              <w:rPr>
                <w:rFonts w:ascii="Calibri" w:eastAsia="Times New Roman" w:hAnsi="Calibri" w:cs="Calibri"/>
                <w:kern w:val="0"/>
                <w:lang w:val="fr-FR" w:eastAsia="zh-CN"/>
                <w14:ligatures w14:val="none"/>
              </w:rPr>
              <w:t> </w:t>
            </w:r>
          </w:p>
        </w:tc>
      </w:tr>
      <w:tr w:rsidR="00C55983" w:rsidRPr="00A82FB4" w14:paraId="0EA92607"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D5DCE4"/>
            <w:vAlign w:val="center"/>
            <w:hideMark/>
          </w:tcPr>
          <w:p w14:paraId="67CA8047" w14:textId="0A8ABB38" w:rsidR="008041F6" w:rsidRPr="00A82FB4" w:rsidRDefault="00C55983" w:rsidP="00D51A3E">
            <w:pPr>
              <w:spacing w:after="0" w:line="240" w:lineRule="auto"/>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08 :</w:t>
            </w:r>
            <w:r w:rsidR="008041F6" w:rsidRPr="00A82FB4">
              <w:rPr>
                <w:rFonts w:ascii="Calibri" w:eastAsia="Times New Roman" w:hAnsi="Calibri" w:cs="Calibri"/>
                <w:kern w:val="0"/>
                <w:lang w:val="fr-FR" w:eastAsia="zh-CN"/>
                <w14:ligatures w14:val="none"/>
              </w:rPr>
              <w:t>30–</w:t>
            </w:r>
            <w:r w:rsidR="001A50D4" w:rsidRPr="00A82FB4">
              <w:rPr>
                <w:rFonts w:ascii="Calibri" w:eastAsia="Times New Roman" w:hAnsi="Calibri" w:cs="Calibri"/>
                <w:kern w:val="0"/>
                <w:lang w:val="fr-FR" w:eastAsia="zh-CN"/>
                <w14:ligatures w14:val="none"/>
              </w:rPr>
              <w:t>09 :</w:t>
            </w:r>
            <w:r w:rsidR="008041F6" w:rsidRPr="00A82FB4">
              <w:rPr>
                <w:rFonts w:ascii="Calibri" w:eastAsia="Times New Roman" w:hAnsi="Calibri" w:cs="Calibri"/>
                <w:kern w:val="0"/>
                <w:lang w:val="fr-FR" w:eastAsia="zh-CN"/>
                <w14:ligatures w14:val="none"/>
              </w:rPr>
              <w:t>00 </w:t>
            </w:r>
          </w:p>
        </w:tc>
        <w:tc>
          <w:tcPr>
            <w:tcW w:w="8355" w:type="dxa"/>
            <w:tcBorders>
              <w:top w:val="single" w:sz="12" w:space="0" w:color="auto"/>
              <w:left w:val="single" w:sz="6" w:space="0" w:color="auto"/>
              <w:bottom w:val="single" w:sz="6" w:space="0" w:color="auto"/>
              <w:right w:val="single" w:sz="12" w:space="0" w:color="auto"/>
            </w:tcBorders>
            <w:shd w:val="clear" w:color="auto" w:fill="FFFFFF"/>
            <w:vAlign w:val="center"/>
            <w:hideMark/>
          </w:tcPr>
          <w:p w14:paraId="22744789" w14:textId="77777777" w:rsidR="00C67CA0" w:rsidRPr="00A82FB4" w:rsidRDefault="00C67CA0" w:rsidP="00247B11">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Séance d'ouverture</w:t>
            </w:r>
          </w:p>
          <w:p w14:paraId="61E91095" w14:textId="77777777" w:rsidR="00C67CA0" w:rsidRPr="00A82FB4" w:rsidRDefault="00C67CA0" w:rsidP="004A1742">
            <w:pPr>
              <w:numPr>
                <w:ilvl w:val="0"/>
                <w:numId w:val="32"/>
              </w:numPr>
              <w:spacing w:after="0" w:line="240" w:lineRule="auto"/>
              <w:textAlignment w:val="baseline"/>
              <w:rPr>
                <w:rFonts w:ascii="Calibri" w:eastAsia="Times New Roman" w:hAnsi="Calibri" w:cs="Calibri"/>
                <w:kern w:val="0"/>
                <w:lang w:val="fr-FR" w:eastAsia="zh-CN"/>
                <w14:ligatures w14:val="none"/>
              </w:rPr>
            </w:pPr>
            <w:r w:rsidRPr="00C55983">
              <w:rPr>
                <w:rFonts w:ascii="Calibri" w:eastAsia="Times New Roman" w:hAnsi="Calibri" w:cs="Calibri"/>
                <w:kern w:val="0"/>
                <w:lang w:val="fr-FR" w:eastAsia="zh-CN"/>
                <w14:ligatures w14:val="none"/>
              </w:rPr>
              <w:t>Allocution de l'ARTAC</w:t>
            </w:r>
          </w:p>
          <w:p w14:paraId="452E1EB6" w14:textId="77777777" w:rsidR="00C67CA0" w:rsidRPr="00A82FB4" w:rsidRDefault="00C67CA0" w:rsidP="004A1742">
            <w:pPr>
              <w:numPr>
                <w:ilvl w:val="0"/>
                <w:numId w:val="32"/>
              </w:numPr>
              <w:spacing w:after="0" w:line="240" w:lineRule="auto"/>
              <w:textAlignment w:val="baseline"/>
              <w:rPr>
                <w:rFonts w:ascii="Calibri" w:eastAsia="Times New Roman" w:hAnsi="Calibri" w:cs="Calibri"/>
                <w:kern w:val="0"/>
                <w:lang w:val="fr-FR" w:eastAsia="zh-CN"/>
                <w14:ligatures w14:val="none"/>
              </w:rPr>
            </w:pPr>
            <w:r w:rsidRPr="00C55983">
              <w:rPr>
                <w:rFonts w:ascii="Calibri" w:eastAsia="Times New Roman" w:hAnsi="Calibri" w:cs="Calibri"/>
                <w:kern w:val="0"/>
                <w:lang w:val="fr-FR" w:eastAsia="zh-CN"/>
                <w14:ligatures w14:val="none"/>
              </w:rPr>
              <w:t>Allocution de l'UIT</w:t>
            </w:r>
          </w:p>
          <w:p w14:paraId="7A14E52F" w14:textId="77777777" w:rsidR="008041F6" w:rsidRPr="00A82FB4" w:rsidRDefault="008041F6" w:rsidP="004A1742">
            <w:pPr>
              <w:spacing w:after="0" w:line="240" w:lineRule="auto"/>
              <w:ind w:left="1080"/>
              <w:textAlignment w:val="baseline"/>
              <w:rPr>
                <w:rFonts w:ascii="Calibri" w:eastAsia="Times New Roman" w:hAnsi="Calibri" w:cs="Calibri"/>
                <w:kern w:val="0"/>
                <w:lang w:val="fr-FR" w:eastAsia="zh-CN"/>
                <w14:ligatures w14:val="none"/>
              </w:rPr>
            </w:pPr>
          </w:p>
        </w:tc>
      </w:tr>
      <w:tr w:rsidR="00C55983" w:rsidRPr="00A82FB4" w14:paraId="462CF643"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D5DCE4"/>
            <w:vAlign w:val="center"/>
            <w:hideMark/>
          </w:tcPr>
          <w:p w14:paraId="0A248807" w14:textId="4AD9BC5C" w:rsidR="008041F6" w:rsidRPr="00A82FB4" w:rsidRDefault="001A50D4" w:rsidP="00D51A3E">
            <w:pPr>
              <w:spacing w:after="0" w:line="240" w:lineRule="auto"/>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09 :</w:t>
            </w:r>
            <w:r w:rsidR="008041F6" w:rsidRPr="00A82FB4">
              <w:rPr>
                <w:rFonts w:ascii="Calibri" w:eastAsia="Times New Roman" w:hAnsi="Calibri" w:cs="Calibri"/>
                <w:kern w:val="0"/>
                <w:lang w:val="fr-FR" w:eastAsia="zh-CN"/>
                <w14:ligatures w14:val="none"/>
              </w:rPr>
              <w:t>00-</w:t>
            </w:r>
            <w:r w:rsidRPr="00A82FB4">
              <w:rPr>
                <w:rFonts w:ascii="Calibri" w:eastAsia="Times New Roman" w:hAnsi="Calibri" w:cs="Calibri"/>
                <w:kern w:val="0"/>
                <w:lang w:val="fr-FR" w:eastAsia="zh-CN"/>
                <w14:ligatures w14:val="none"/>
              </w:rPr>
              <w:t>10 :</w:t>
            </w:r>
            <w:r w:rsidR="008041F6" w:rsidRPr="00A82FB4">
              <w:rPr>
                <w:rFonts w:ascii="Calibri" w:eastAsia="Times New Roman" w:hAnsi="Calibri" w:cs="Calibri"/>
                <w:kern w:val="0"/>
                <w:lang w:val="fr-FR" w:eastAsia="zh-CN"/>
                <w14:ligatures w14:val="none"/>
              </w:rPr>
              <w:t>15 </w:t>
            </w:r>
          </w:p>
        </w:tc>
        <w:tc>
          <w:tcPr>
            <w:tcW w:w="8355" w:type="dxa"/>
            <w:tcBorders>
              <w:top w:val="single" w:sz="12" w:space="0" w:color="auto"/>
              <w:left w:val="single" w:sz="6" w:space="0" w:color="auto"/>
              <w:bottom w:val="single" w:sz="6" w:space="0" w:color="auto"/>
              <w:right w:val="single" w:sz="12" w:space="0" w:color="auto"/>
            </w:tcBorders>
            <w:shd w:val="clear" w:color="auto" w:fill="FFFFFF"/>
            <w:vAlign w:val="center"/>
            <w:hideMark/>
          </w:tcPr>
          <w:p w14:paraId="40D09122" w14:textId="22BF9497" w:rsidR="00AD146B" w:rsidRPr="00A82FB4" w:rsidRDefault="00AD146B" w:rsidP="00741957">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 xml:space="preserve">Introduction au laboratoire de sécurité </w:t>
            </w:r>
            <w:r w:rsidRPr="00A82FB4">
              <w:rPr>
                <w:rFonts w:eastAsia="Times New Roman"/>
                <w:b/>
                <w:bCs/>
                <w:kern w:val="0"/>
                <w:lang w:val="fr-FR" w:eastAsia="zh-CN"/>
                <w14:ligatures w14:val="none"/>
              </w:rPr>
              <w:t>de SFN</w:t>
            </w:r>
            <w:r w:rsidRPr="00A82FB4">
              <w:rPr>
                <w:rFonts w:ascii="Calibri" w:eastAsia="Times New Roman" w:hAnsi="Calibri" w:cs="Calibri"/>
                <w:b/>
                <w:bCs/>
                <w:kern w:val="0"/>
                <w:lang w:val="fr-FR" w:eastAsia="zh-CN"/>
                <w14:ligatures w14:val="none"/>
              </w:rPr>
              <w:t xml:space="preserve"> de l'UIT et à la plate-forme de partage des connaissances</w:t>
            </w:r>
          </w:p>
          <w:p w14:paraId="1C5CA09E" w14:textId="5ED75FBC" w:rsidR="00AD146B" w:rsidRPr="00A82FB4" w:rsidRDefault="00AD146B" w:rsidP="00741957">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Cette séance donnera un aperçu général du laboratoire d</w:t>
            </w:r>
            <w:r w:rsidRPr="00A82FB4">
              <w:rPr>
                <w:rFonts w:eastAsia="Times New Roman"/>
                <w:kern w:val="0"/>
                <w:lang w:val="fr-FR" w:eastAsia="zh-CN"/>
                <w14:ligatures w14:val="none"/>
              </w:rPr>
              <w:t>e SFN</w:t>
            </w:r>
            <w:r w:rsidRPr="00A82FB4">
              <w:rPr>
                <w:rFonts w:ascii="Calibri" w:eastAsia="Times New Roman" w:hAnsi="Calibri" w:cs="Calibri"/>
                <w:kern w:val="0"/>
                <w:lang w:val="fr-FR" w:eastAsia="zh-CN"/>
                <w14:ligatures w14:val="none"/>
              </w:rPr>
              <w:t xml:space="preserve"> de l'UIT et de l'assistance qu'il fournit aux pays en développement pour l'adoption des recommandations relatives à la sécurité d</w:t>
            </w:r>
            <w:r w:rsidRPr="00A82FB4">
              <w:rPr>
                <w:rFonts w:eastAsia="Times New Roman"/>
                <w:kern w:val="0"/>
                <w:lang w:val="fr-FR" w:eastAsia="zh-CN"/>
                <w14:ligatures w14:val="none"/>
              </w:rPr>
              <w:t>e SFN</w:t>
            </w:r>
            <w:r w:rsidRPr="00A82FB4">
              <w:rPr>
                <w:rFonts w:ascii="Calibri" w:eastAsia="Times New Roman" w:hAnsi="Calibri" w:cs="Calibri"/>
                <w:kern w:val="0"/>
                <w:lang w:val="fr-FR" w:eastAsia="zh-CN"/>
                <w14:ligatures w14:val="none"/>
              </w:rPr>
              <w:t xml:space="preserve">. Cette séance présentera également la </w:t>
            </w:r>
            <w:hyperlink r:id="rId20" w:tgtFrame="_blank" w:history="1">
              <w:r w:rsidRPr="00A82FB4">
                <w:rPr>
                  <w:rFonts w:ascii="Calibri" w:eastAsia="Times New Roman" w:hAnsi="Calibri" w:cs="Calibri"/>
                  <w:color w:val="0000FF"/>
                  <w:kern w:val="0"/>
                  <w:u w:val="single"/>
                  <w:lang w:val="fr-FR" w:eastAsia="zh-CN"/>
                  <w14:ligatures w14:val="none"/>
                </w:rPr>
                <w:t>plate-forme de partage des connaissances de l'UIT</w:t>
              </w:r>
            </w:hyperlink>
            <w:r w:rsidRPr="00A82FB4">
              <w:rPr>
                <w:rFonts w:ascii="Calibri" w:eastAsia="Times New Roman" w:hAnsi="Calibri" w:cs="Calibri"/>
                <w:kern w:val="0"/>
                <w:lang w:val="fr-FR" w:eastAsia="zh-CN"/>
                <w14:ligatures w14:val="none"/>
              </w:rPr>
              <w:t>. La Plateforme de partage des connaissances en matière de sécurité des SFN de l'UIT est conçue pour favoriser la collaboration entre les régulateurs et les autres parties prenantes dans l'élaboration et la mise en œuvre de lignes directrices et de bonnes pratiques en matière de sécurité pour les services financiers numériques (SFN). </w:t>
            </w:r>
          </w:p>
          <w:p w14:paraId="5A1DD97A" w14:textId="1E1BE17A"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Intervenant :</w:t>
            </w:r>
            <w:r w:rsidR="00AD146B" w:rsidRPr="00C55983">
              <w:rPr>
                <w:rFonts w:ascii="Calibri" w:eastAsia="Times New Roman" w:hAnsi="Calibri" w:cs="Calibri"/>
                <w:b/>
                <w:bCs/>
                <w:kern w:val="0"/>
                <w:lang w:val="fr-FR" w:eastAsia="zh-CN"/>
                <w14:ligatures w14:val="none"/>
              </w:rPr>
              <w:t xml:space="preserve"> à confirmer</w:t>
            </w:r>
          </w:p>
        </w:tc>
      </w:tr>
      <w:tr w:rsidR="00C55983" w:rsidRPr="00A82FB4" w14:paraId="515D54F8"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44546A"/>
            <w:vAlign w:val="center"/>
            <w:hideMark/>
          </w:tcPr>
          <w:p w14:paraId="45F0331E" w14:textId="28C8C399"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10 :</w:t>
            </w:r>
            <w:r w:rsidR="008041F6" w:rsidRPr="00A82FB4">
              <w:rPr>
                <w:rFonts w:ascii="Calibri" w:eastAsia="Times New Roman" w:hAnsi="Calibri" w:cs="Calibri"/>
                <w:kern w:val="0"/>
                <w:lang w:val="fr-FR" w:eastAsia="zh-CN"/>
                <w14:ligatures w14:val="none"/>
              </w:rPr>
              <w:t xml:space="preserve">15 - </w:t>
            </w:r>
            <w:r w:rsidRPr="00A82FB4">
              <w:rPr>
                <w:rFonts w:ascii="Calibri" w:eastAsia="Times New Roman" w:hAnsi="Calibri" w:cs="Calibri"/>
                <w:kern w:val="0"/>
                <w:lang w:val="fr-FR" w:eastAsia="zh-CN"/>
                <w14:ligatures w14:val="none"/>
              </w:rPr>
              <w:t>10 :</w:t>
            </w:r>
            <w:r w:rsidR="008041F6" w:rsidRPr="00A82FB4">
              <w:rPr>
                <w:rFonts w:ascii="Calibri" w:eastAsia="Times New Roman" w:hAnsi="Calibri" w:cs="Calibri"/>
                <w:kern w:val="0"/>
                <w:lang w:val="fr-FR" w:eastAsia="zh-CN"/>
                <w14:ligatures w14:val="none"/>
              </w:rPr>
              <w:t>30 </w:t>
            </w:r>
          </w:p>
        </w:tc>
        <w:tc>
          <w:tcPr>
            <w:tcW w:w="8355" w:type="dxa"/>
            <w:tcBorders>
              <w:top w:val="single" w:sz="12" w:space="0" w:color="auto"/>
              <w:left w:val="single" w:sz="6" w:space="0" w:color="auto"/>
              <w:bottom w:val="single" w:sz="6" w:space="0" w:color="auto"/>
              <w:right w:val="single" w:sz="12" w:space="0" w:color="auto"/>
            </w:tcBorders>
            <w:shd w:val="clear" w:color="auto" w:fill="44546A"/>
            <w:vAlign w:val="center"/>
            <w:hideMark/>
          </w:tcPr>
          <w:p w14:paraId="2AE5EA61" w14:textId="302CFB52" w:rsidR="008041F6" w:rsidRPr="00A82FB4" w:rsidRDefault="00645320" w:rsidP="00D51A3E">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Pause-café</w:t>
            </w:r>
          </w:p>
        </w:tc>
      </w:tr>
      <w:tr w:rsidR="00C55983" w:rsidRPr="00A82FB4" w14:paraId="59FFD53A"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D5DCE4"/>
            <w:vAlign w:val="center"/>
            <w:hideMark/>
          </w:tcPr>
          <w:p w14:paraId="04917DBF" w14:textId="00ABCD82"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10 :</w:t>
            </w:r>
            <w:r w:rsidR="008041F6" w:rsidRPr="00A82FB4">
              <w:rPr>
                <w:rFonts w:ascii="Calibri" w:eastAsia="Times New Roman" w:hAnsi="Calibri" w:cs="Calibri"/>
                <w:kern w:val="0"/>
                <w:lang w:val="fr-FR" w:eastAsia="zh-CN"/>
                <w14:ligatures w14:val="none"/>
              </w:rPr>
              <w:t>30–</w:t>
            </w:r>
            <w:r w:rsidRPr="00A82FB4">
              <w:rPr>
                <w:rFonts w:ascii="Calibri" w:eastAsia="Times New Roman" w:hAnsi="Calibri" w:cs="Calibri"/>
                <w:kern w:val="0"/>
                <w:lang w:val="fr-FR" w:eastAsia="zh-CN"/>
                <w14:ligatures w14:val="none"/>
              </w:rPr>
              <w:t>12 :</w:t>
            </w:r>
            <w:r w:rsidR="008041F6" w:rsidRPr="00A82FB4">
              <w:rPr>
                <w:rFonts w:ascii="Calibri" w:eastAsia="Times New Roman" w:hAnsi="Calibri" w:cs="Calibri"/>
                <w:kern w:val="0"/>
                <w:lang w:val="fr-FR" w:eastAsia="zh-CN"/>
                <w14:ligatures w14:val="none"/>
              </w:rPr>
              <w:t xml:space="preserve"> 30 </w:t>
            </w:r>
          </w:p>
        </w:tc>
        <w:tc>
          <w:tcPr>
            <w:tcW w:w="8355" w:type="dxa"/>
            <w:tcBorders>
              <w:top w:val="single" w:sz="12" w:space="0" w:color="auto"/>
              <w:left w:val="single" w:sz="6" w:space="0" w:color="auto"/>
              <w:bottom w:val="single" w:sz="6" w:space="0" w:color="auto"/>
              <w:right w:val="single" w:sz="12" w:space="0" w:color="auto"/>
            </w:tcBorders>
            <w:shd w:val="clear" w:color="auto" w:fill="FFFFFF"/>
            <w:vAlign w:val="center"/>
            <w:hideMark/>
          </w:tcPr>
          <w:p w14:paraId="28DAAC78" w14:textId="67CD384A" w:rsidR="00614039" w:rsidRPr="00A82FB4" w:rsidRDefault="00614039" w:rsidP="00B048A1">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 xml:space="preserve">Recommandations de sécurité </w:t>
            </w:r>
            <w:r w:rsidR="0016519C" w:rsidRPr="00A82FB4">
              <w:rPr>
                <w:rFonts w:ascii="Calibri" w:eastAsia="Times New Roman" w:hAnsi="Calibri" w:cs="Calibri"/>
                <w:b/>
                <w:bCs/>
                <w:kern w:val="0"/>
                <w:lang w:val="fr-FR" w:eastAsia="zh-CN"/>
                <w14:ligatures w14:val="none"/>
              </w:rPr>
              <w:t>d</w:t>
            </w:r>
            <w:r w:rsidR="0016519C" w:rsidRPr="00A82FB4">
              <w:rPr>
                <w:rFonts w:eastAsia="Times New Roman"/>
                <w:b/>
                <w:bCs/>
                <w:kern w:val="0"/>
                <w:lang w:val="fr-FR" w:eastAsia="zh-CN"/>
                <w14:ligatures w14:val="none"/>
              </w:rPr>
              <w:t>e SFN</w:t>
            </w:r>
            <w:r w:rsidRPr="00A82FB4">
              <w:rPr>
                <w:rFonts w:ascii="Calibri" w:eastAsia="Times New Roman" w:hAnsi="Calibri" w:cs="Calibri"/>
                <w:b/>
                <w:bCs/>
                <w:kern w:val="0"/>
                <w:lang w:val="fr-FR" w:eastAsia="zh-CN"/>
                <w14:ligatures w14:val="none"/>
              </w:rPr>
              <w:t xml:space="preserve"> de l'UIT</w:t>
            </w:r>
            <w:r w:rsidRPr="00A82FB4">
              <w:rPr>
                <w:rFonts w:ascii="Calibri" w:eastAsia="Times New Roman" w:hAnsi="Calibri" w:cs="Calibri"/>
                <w:kern w:val="0"/>
                <w:lang w:val="fr-FR" w:eastAsia="zh-CN"/>
                <w14:ligatures w14:val="none"/>
              </w:rPr>
              <w:t xml:space="preserve"> – Partie 1</w:t>
            </w:r>
          </w:p>
          <w:p w14:paraId="68172E70" w14:textId="1E6A1CF7" w:rsidR="00614039" w:rsidRPr="00A82FB4" w:rsidRDefault="00614039" w:rsidP="00B048A1">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Cette séance mettra en évidence les mesures de sécurité à mettre en œuvre par les régulateurs et les fournisseurs de services numériques, comme mentionné dans les recommandations de sécurité de l'UIT pour sécuriser la couche applications, l'infrastructure de télécommunications et l'infrastructure du système de paiement. En particulier, les mesures suivantes seront présentées :</w:t>
            </w:r>
          </w:p>
          <w:p w14:paraId="5C5D7D64" w14:textId="662E2189" w:rsidR="00614039" w:rsidRPr="00C55983" w:rsidRDefault="006F4F13" w:rsidP="002C51CD">
            <w:pPr>
              <w:pStyle w:val="Paragraphedeliste"/>
              <w:numPr>
                <w:ilvl w:val="0"/>
                <w:numId w:val="34"/>
              </w:numPr>
              <w:spacing w:after="0" w:line="240" w:lineRule="auto"/>
              <w:jc w:val="both"/>
              <w:textAlignment w:val="baseline"/>
              <w:rPr>
                <w:rStyle w:val="Lienhypertexte"/>
                <w:rFonts w:ascii="Calibri" w:eastAsia="Times New Roman" w:hAnsi="Calibri" w:cs="Calibri"/>
                <w:kern w:val="0"/>
                <w:lang w:val="fr-FR" w:eastAsia="zh-CN"/>
                <w14:ligatures w14:val="none"/>
              </w:rPr>
            </w:pPr>
            <w:r w:rsidRPr="00A82FB4">
              <w:rPr>
                <w:rFonts w:ascii="Calibri" w:eastAsia="Times New Roman" w:hAnsi="Calibri" w:cs="Calibri"/>
                <w:color w:val="0000FF"/>
                <w:kern w:val="0"/>
                <w:u w:val="single"/>
                <w:lang w:val="fr-FR" w:eastAsia="zh-CN"/>
                <w14:ligatures w14:val="none"/>
              </w:rPr>
              <w:fldChar w:fldCharType="begin"/>
            </w:r>
            <w:r w:rsidRPr="00A82FB4">
              <w:rPr>
                <w:rFonts w:ascii="Calibri" w:eastAsia="Times New Roman" w:hAnsi="Calibri" w:cs="Calibri"/>
                <w:color w:val="0000FF"/>
                <w:kern w:val="0"/>
                <w:u w:val="single"/>
                <w:lang w:val="fr-FR" w:eastAsia="zh-CN"/>
                <w14:ligatures w14:val="none"/>
              </w:rPr>
              <w:instrText>HYPERLINK "https://figi.itu.int/wp-content/uploads/2022/03/Security-recommendations-to-protect-against-DFS-SIM-related-risks-and-SIM-swap-fraud.pdf" \t "_blank"</w:instrText>
            </w:r>
            <w:r w:rsidRPr="00A82FB4">
              <w:rPr>
                <w:rFonts w:ascii="Calibri" w:eastAsia="Times New Roman" w:hAnsi="Calibri" w:cs="Calibri"/>
                <w:color w:val="0000FF"/>
                <w:kern w:val="0"/>
                <w:u w:val="single"/>
                <w:lang w:val="fr-FR" w:eastAsia="zh-CN"/>
                <w14:ligatures w14:val="none"/>
              </w:rPr>
            </w:r>
            <w:r w:rsidRPr="00A82FB4">
              <w:rPr>
                <w:rFonts w:ascii="Calibri" w:eastAsia="Times New Roman" w:hAnsi="Calibri" w:cs="Calibri"/>
                <w:color w:val="0000FF"/>
                <w:kern w:val="0"/>
                <w:u w:val="single"/>
                <w:lang w:val="fr-FR" w:eastAsia="zh-CN"/>
                <w14:ligatures w14:val="none"/>
              </w:rPr>
              <w:fldChar w:fldCharType="separate"/>
            </w:r>
            <w:r w:rsidR="00614039" w:rsidRPr="00C55983">
              <w:rPr>
                <w:rStyle w:val="Lienhypertexte"/>
                <w:rFonts w:ascii="Calibri" w:eastAsia="Times New Roman" w:hAnsi="Calibri" w:cs="Calibri"/>
                <w:kern w:val="0"/>
                <w:lang w:val="fr-FR" w:eastAsia="zh-CN"/>
                <w14:ligatures w14:val="none"/>
              </w:rPr>
              <w:t>Recommandations de sécurité pour se protéger contre les risques</w:t>
            </w:r>
            <w:r w:rsidR="0016519C" w:rsidRPr="00C55983">
              <w:rPr>
                <w:rStyle w:val="Lienhypertexte"/>
                <w:rFonts w:ascii="Calibri" w:eastAsia="Times New Roman" w:hAnsi="Calibri" w:cs="Calibri"/>
                <w:kern w:val="0"/>
                <w:lang w:val="fr-FR" w:eastAsia="zh-CN"/>
                <w14:ligatures w14:val="none"/>
              </w:rPr>
              <w:t xml:space="preserve"> </w:t>
            </w:r>
            <w:r w:rsidR="0016519C" w:rsidRPr="00C55983">
              <w:rPr>
                <w:rStyle w:val="Lienhypertexte"/>
                <w:rFonts w:eastAsia="Times New Roman"/>
                <w:kern w:val="0"/>
                <w:lang w:val="fr-FR" w:eastAsia="zh-CN"/>
                <w14:ligatures w14:val="none"/>
              </w:rPr>
              <w:t>de SFN</w:t>
            </w:r>
            <w:r w:rsidR="00614039" w:rsidRPr="00C55983">
              <w:rPr>
                <w:rStyle w:val="Lienhypertexte"/>
                <w:rFonts w:ascii="Calibri" w:eastAsia="Times New Roman" w:hAnsi="Calibri" w:cs="Calibri"/>
                <w:kern w:val="0"/>
                <w:lang w:val="fr-FR" w:eastAsia="zh-CN"/>
                <w14:ligatures w14:val="none"/>
              </w:rPr>
              <w:t xml:space="preserve"> liés aux cartes </w:t>
            </w:r>
            <w:r w:rsidRPr="00C55983">
              <w:rPr>
                <w:rStyle w:val="Lienhypertexte"/>
                <w:rFonts w:ascii="Calibri" w:eastAsia="Times New Roman" w:hAnsi="Calibri" w:cs="Calibri"/>
                <w:kern w:val="0"/>
                <w:lang w:val="fr-FR" w:eastAsia="zh-CN"/>
                <w14:ligatures w14:val="none"/>
              </w:rPr>
              <w:t>SIM et</w:t>
            </w:r>
            <w:r w:rsidR="00614039" w:rsidRPr="00C55983">
              <w:rPr>
                <w:rStyle w:val="Lienhypertexte"/>
                <w:rFonts w:ascii="Calibri" w:eastAsia="Times New Roman" w:hAnsi="Calibri" w:cs="Calibri"/>
                <w:kern w:val="0"/>
                <w:lang w:val="fr-FR" w:eastAsia="zh-CN"/>
                <w14:ligatures w14:val="none"/>
              </w:rPr>
              <w:t xml:space="preserve"> à la fraude par échange de cartes SIM </w:t>
            </w:r>
          </w:p>
          <w:p w14:paraId="09A04517" w14:textId="363A8914" w:rsidR="00614039" w:rsidRPr="00A82FB4" w:rsidRDefault="006F4F13" w:rsidP="002C51CD">
            <w:pPr>
              <w:pStyle w:val="Paragraphedeliste"/>
              <w:numPr>
                <w:ilvl w:val="0"/>
                <w:numId w:val="34"/>
              </w:num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color w:val="0000FF"/>
                <w:kern w:val="0"/>
                <w:u w:val="single"/>
                <w:lang w:val="fr-FR" w:eastAsia="zh-CN"/>
                <w14:ligatures w14:val="none"/>
              </w:rPr>
              <w:fldChar w:fldCharType="end"/>
            </w:r>
            <w:hyperlink r:id="rId21" w:tgtFrame="_blank" w:history="1">
              <w:r w:rsidR="00614039" w:rsidRPr="00A82FB4">
                <w:rPr>
                  <w:rFonts w:ascii="Calibri" w:eastAsia="Times New Roman" w:hAnsi="Calibri" w:cs="Calibri"/>
                  <w:color w:val="0000FF"/>
                  <w:kern w:val="0"/>
                  <w:u w:val="single"/>
                  <w:lang w:val="fr-FR" w:eastAsia="zh-CN"/>
                  <w14:ligatures w14:val="none"/>
                </w:rPr>
                <w:t>Modèle de protocole d'accord type entre un régulateur des télécommunications et une banque centrale sur la sécurité des services financiers numériques</w:t>
              </w:r>
            </w:hyperlink>
            <w:r w:rsidR="00614039" w:rsidRPr="00A82FB4">
              <w:rPr>
                <w:rFonts w:ascii="Calibri" w:eastAsia="Times New Roman" w:hAnsi="Calibri" w:cs="Calibri"/>
                <w:kern w:val="0"/>
                <w:lang w:val="fr-FR" w:eastAsia="zh-CN"/>
                <w14:ligatures w14:val="none"/>
              </w:rPr>
              <w:t> </w:t>
            </w:r>
          </w:p>
          <w:p w14:paraId="64873C13" w14:textId="77777777" w:rsidR="00614039" w:rsidRPr="00A82FB4" w:rsidRDefault="00614039" w:rsidP="002C51CD">
            <w:pPr>
              <w:pStyle w:val="Paragraphedeliste"/>
              <w:numPr>
                <w:ilvl w:val="0"/>
                <w:numId w:val="34"/>
              </w:numPr>
              <w:spacing w:after="0" w:line="240" w:lineRule="auto"/>
              <w:jc w:val="both"/>
              <w:textAlignment w:val="baseline"/>
              <w:rPr>
                <w:rFonts w:ascii="Calibri" w:eastAsia="Times New Roman" w:hAnsi="Calibri" w:cs="Calibri"/>
                <w:kern w:val="0"/>
                <w:lang w:val="fr-FR" w:eastAsia="zh-CN"/>
                <w14:ligatures w14:val="none"/>
              </w:rPr>
            </w:pPr>
            <w:hyperlink r:id="rId22" w:tgtFrame="_blank" w:history="1">
              <w:r w:rsidRPr="00A82FB4">
                <w:rPr>
                  <w:rFonts w:ascii="Calibri" w:eastAsia="Times New Roman" w:hAnsi="Calibri" w:cs="Calibri"/>
                  <w:color w:val="0000FF"/>
                  <w:kern w:val="0"/>
                  <w:u w:val="single"/>
                  <w:lang w:val="fr-FR" w:eastAsia="zh-CN"/>
                  <w14:ligatures w14:val="none"/>
                </w:rPr>
                <w:t>Recommandations à l'intention des régulateurs pour atténuer les vulnérabilités SS7</w:t>
              </w:r>
            </w:hyperlink>
            <w:r w:rsidRPr="00A82FB4">
              <w:rPr>
                <w:rFonts w:ascii="Calibri" w:eastAsia="Times New Roman" w:hAnsi="Calibri" w:cs="Calibri"/>
                <w:kern w:val="0"/>
                <w:lang w:val="fr-FR" w:eastAsia="zh-CN"/>
                <w14:ligatures w14:val="none"/>
              </w:rPr>
              <w:t> </w:t>
            </w:r>
          </w:p>
          <w:p w14:paraId="33189200" w14:textId="5775E8B7" w:rsidR="00614039" w:rsidRPr="00C55983" w:rsidRDefault="00930B28" w:rsidP="002C51CD">
            <w:pPr>
              <w:pStyle w:val="Paragraphedeliste"/>
              <w:numPr>
                <w:ilvl w:val="0"/>
                <w:numId w:val="34"/>
              </w:numPr>
              <w:spacing w:after="0" w:line="240" w:lineRule="auto"/>
              <w:jc w:val="both"/>
              <w:textAlignment w:val="baseline"/>
              <w:rPr>
                <w:rStyle w:val="Lienhypertexte"/>
                <w:rFonts w:ascii="Calibri" w:eastAsia="Times New Roman" w:hAnsi="Calibri" w:cs="Calibri"/>
                <w:kern w:val="0"/>
                <w:lang w:val="fr-FR" w:eastAsia="zh-CN"/>
                <w14:ligatures w14:val="none"/>
              </w:rPr>
            </w:pPr>
            <w:r w:rsidRPr="00A82FB4">
              <w:rPr>
                <w:rFonts w:ascii="Calibri" w:eastAsia="Times New Roman" w:hAnsi="Calibri" w:cs="Calibri"/>
                <w:color w:val="0000FF"/>
                <w:kern w:val="0"/>
                <w:u w:val="single"/>
                <w:lang w:val="fr-FR" w:eastAsia="zh-CN"/>
                <w14:ligatures w14:val="none"/>
              </w:rPr>
              <w:fldChar w:fldCharType="begin"/>
            </w:r>
            <w:r w:rsidRPr="00A82FB4">
              <w:rPr>
                <w:rFonts w:ascii="Calibri" w:eastAsia="Times New Roman" w:hAnsi="Calibri" w:cs="Calibri"/>
                <w:color w:val="0000FF"/>
                <w:kern w:val="0"/>
                <w:u w:val="single"/>
                <w:lang w:val="fr-FR" w:eastAsia="zh-CN"/>
                <w14:ligatures w14:val="none"/>
              </w:rPr>
              <w:instrText>HYPERLINK "https://figi.itu.int/wp-content/uploads/2021/04/Digital-Financial-Services-Consumer-Competency-Framework-1.pdf" \t "_blank"</w:instrText>
            </w:r>
            <w:r w:rsidRPr="00A82FB4">
              <w:rPr>
                <w:rFonts w:ascii="Calibri" w:eastAsia="Times New Roman" w:hAnsi="Calibri" w:cs="Calibri"/>
                <w:color w:val="0000FF"/>
                <w:kern w:val="0"/>
                <w:u w:val="single"/>
                <w:lang w:val="fr-FR" w:eastAsia="zh-CN"/>
                <w14:ligatures w14:val="none"/>
              </w:rPr>
            </w:r>
            <w:r w:rsidRPr="00A82FB4">
              <w:rPr>
                <w:rFonts w:ascii="Calibri" w:eastAsia="Times New Roman" w:hAnsi="Calibri" w:cs="Calibri"/>
                <w:color w:val="0000FF"/>
                <w:kern w:val="0"/>
                <w:u w:val="single"/>
                <w:lang w:val="fr-FR" w:eastAsia="zh-CN"/>
                <w14:ligatures w14:val="none"/>
              </w:rPr>
              <w:fldChar w:fldCharType="separate"/>
            </w:r>
            <w:r w:rsidR="00614039" w:rsidRPr="00C55983">
              <w:rPr>
                <w:rStyle w:val="Lienhypertexte"/>
                <w:rFonts w:ascii="Calibri" w:eastAsia="Times New Roman" w:hAnsi="Calibri" w:cs="Calibri"/>
                <w:kern w:val="0"/>
                <w:lang w:val="fr-FR" w:eastAsia="zh-CN"/>
                <w14:ligatures w14:val="none"/>
              </w:rPr>
              <w:t xml:space="preserve">Cadre de compétences </w:t>
            </w:r>
            <w:r w:rsidR="002C51CD" w:rsidRPr="00C55983">
              <w:rPr>
                <w:rStyle w:val="Lienhypertexte"/>
                <w:rFonts w:ascii="Calibri" w:eastAsia="Times New Roman" w:hAnsi="Calibri" w:cs="Calibri"/>
                <w:kern w:val="0"/>
                <w:lang w:val="fr-FR" w:eastAsia="zh-CN"/>
                <w14:ligatures w14:val="none"/>
              </w:rPr>
              <w:t>d</w:t>
            </w:r>
            <w:r w:rsidR="002C51CD" w:rsidRPr="00C55983">
              <w:rPr>
                <w:rStyle w:val="Lienhypertexte"/>
                <w:rFonts w:eastAsia="Times New Roman"/>
                <w:kern w:val="0"/>
                <w:lang w:val="fr-FR" w:eastAsia="zh-CN"/>
                <w14:ligatures w14:val="none"/>
              </w:rPr>
              <w:t>e SFN</w:t>
            </w:r>
            <w:r w:rsidR="00614039" w:rsidRPr="00C55983">
              <w:rPr>
                <w:rStyle w:val="Lienhypertexte"/>
                <w:rFonts w:ascii="Calibri" w:eastAsia="Times New Roman" w:hAnsi="Calibri" w:cs="Calibri"/>
                <w:kern w:val="0"/>
                <w:lang w:val="fr-FR" w:eastAsia="zh-CN"/>
                <w14:ligatures w14:val="none"/>
              </w:rPr>
              <w:t xml:space="preserve"> pour les consommateurs </w:t>
            </w:r>
          </w:p>
          <w:p w14:paraId="00FF3779" w14:textId="59F7933F" w:rsidR="008041F6" w:rsidRPr="00A82FB4" w:rsidRDefault="00930B28"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color w:val="0000FF"/>
                <w:kern w:val="0"/>
                <w:u w:val="single"/>
                <w:lang w:val="fr-FR" w:eastAsia="zh-CN"/>
                <w14:ligatures w14:val="none"/>
              </w:rPr>
              <w:fldChar w:fldCharType="end"/>
            </w:r>
            <w:r w:rsidR="001A50D4" w:rsidRPr="00C55983">
              <w:rPr>
                <w:rFonts w:ascii="Calibri" w:eastAsia="Times New Roman" w:hAnsi="Calibri" w:cs="Calibri"/>
                <w:b/>
                <w:bCs/>
                <w:kern w:val="0"/>
                <w:lang w:val="fr-FR" w:eastAsia="zh-CN"/>
                <w14:ligatures w14:val="none"/>
              </w:rPr>
              <w:t>Intervenant :</w:t>
            </w:r>
            <w:r w:rsidR="00614039" w:rsidRPr="00C55983">
              <w:rPr>
                <w:rFonts w:ascii="Calibri" w:eastAsia="Times New Roman" w:hAnsi="Calibri" w:cs="Calibri"/>
                <w:b/>
                <w:bCs/>
                <w:kern w:val="0"/>
                <w:lang w:val="fr-FR" w:eastAsia="zh-CN"/>
                <w14:ligatures w14:val="none"/>
              </w:rPr>
              <w:t xml:space="preserve"> à confirmer</w:t>
            </w:r>
          </w:p>
        </w:tc>
      </w:tr>
      <w:tr w:rsidR="00C55983" w:rsidRPr="00A82FB4" w14:paraId="474BDEF5"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44546A"/>
            <w:vAlign w:val="center"/>
            <w:hideMark/>
          </w:tcPr>
          <w:p w14:paraId="46A3FBB8" w14:textId="5A4C3C83"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12 :</w:t>
            </w:r>
            <w:r w:rsidR="008041F6" w:rsidRPr="00A82FB4">
              <w:rPr>
                <w:rFonts w:ascii="Calibri" w:eastAsia="Times New Roman" w:hAnsi="Calibri" w:cs="Calibri"/>
                <w:kern w:val="0"/>
                <w:lang w:val="fr-FR" w:eastAsia="zh-CN"/>
                <w14:ligatures w14:val="none"/>
              </w:rPr>
              <w:t>30 -</w:t>
            </w:r>
            <w:r w:rsidRPr="00A82FB4">
              <w:rPr>
                <w:rFonts w:ascii="Calibri" w:eastAsia="Times New Roman" w:hAnsi="Calibri" w:cs="Calibri"/>
                <w:kern w:val="0"/>
                <w:lang w:val="fr-FR" w:eastAsia="zh-CN"/>
                <w14:ligatures w14:val="none"/>
              </w:rPr>
              <w:t>13 :</w:t>
            </w:r>
            <w:r w:rsidR="008041F6" w:rsidRPr="00A82FB4">
              <w:rPr>
                <w:rFonts w:ascii="Calibri" w:eastAsia="Times New Roman" w:hAnsi="Calibri" w:cs="Calibri"/>
                <w:kern w:val="0"/>
                <w:lang w:val="fr-FR" w:eastAsia="zh-CN"/>
                <w14:ligatures w14:val="none"/>
              </w:rPr>
              <w:t>30 </w:t>
            </w:r>
          </w:p>
        </w:tc>
        <w:tc>
          <w:tcPr>
            <w:tcW w:w="8355" w:type="dxa"/>
            <w:tcBorders>
              <w:top w:val="single" w:sz="12" w:space="0" w:color="auto"/>
              <w:left w:val="single" w:sz="6" w:space="0" w:color="auto"/>
              <w:bottom w:val="single" w:sz="6" w:space="0" w:color="auto"/>
              <w:right w:val="single" w:sz="12" w:space="0" w:color="auto"/>
            </w:tcBorders>
            <w:shd w:val="clear" w:color="auto" w:fill="44546A"/>
            <w:vAlign w:val="center"/>
            <w:hideMark/>
          </w:tcPr>
          <w:p w14:paraId="1BFCAB7F" w14:textId="39BA66F9" w:rsidR="008041F6" w:rsidRPr="00A82FB4" w:rsidRDefault="00A47B6B" w:rsidP="00D51A3E">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 xml:space="preserve">Pause- </w:t>
            </w:r>
            <w:r w:rsidR="00C55983" w:rsidRPr="00C55983">
              <w:rPr>
                <w:rFonts w:ascii="Calibri" w:eastAsia="Times New Roman" w:hAnsi="Calibri" w:cs="Calibri"/>
                <w:b/>
                <w:bCs/>
                <w:kern w:val="0"/>
                <w:lang w:val="fr-FR" w:eastAsia="zh-CN"/>
                <w14:ligatures w14:val="none"/>
              </w:rPr>
              <w:t>Déjeuner</w:t>
            </w:r>
          </w:p>
        </w:tc>
      </w:tr>
      <w:tr w:rsidR="00C55983" w:rsidRPr="00A82FB4" w14:paraId="6E078CAA"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D5DCE4"/>
            <w:vAlign w:val="center"/>
            <w:hideMark/>
          </w:tcPr>
          <w:p w14:paraId="44B54335" w14:textId="7AB0FC35"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13 :</w:t>
            </w:r>
            <w:r w:rsidR="008041F6" w:rsidRPr="00A82FB4">
              <w:rPr>
                <w:rFonts w:ascii="Calibri" w:eastAsia="Times New Roman" w:hAnsi="Calibri" w:cs="Calibri"/>
                <w:kern w:val="0"/>
                <w:lang w:val="fr-FR" w:eastAsia="zh-CN"/>
                <w14:ligatures w14:val="none"/>
              </w:rPr>
              <w:t>30-</w:t>
            </w:r>
            <w:r w:rsidRPr="00A82FB4">
              <w:rPr>
                <w:rFonts w:ascii="Calibri" w:eastAsia="Times New Roman" w:hAnsi="Calibri" w:cs="Calibri"/>
                <w:kern w:val="0"/>
                <w:lang w:val="fr-FR" w:eastAsia="zh-CN"/>
                <w14:ligatures w14:val="none"/>
              </w:rPr>
              <w:t>14 :</w:t>
            </w:r>
            <w:r w:rsidR="008041F6" w:rsidRPr="00A82FB4">
              <w:rPr>
                <w:rFonts w:ascii="Calibri" w:eastAsia="Times New Roman" w:hAnsi="Calibri" w:cs="Calibri"/>
                <w:kern w:val="0"/>
                <w:lang w:val="fr-FR" w:eastAsia="zh-CN"/>
                <w14:ligatures w14:val="none"/>
              </w:rPr>
              <w:t>45 </w:t>
            </w:r>
          </w:p>
        </w:tc>
        <w:tc>
          <w:tcPr>
            <w:tcW w:w="8355" w:type="dxa"/>
            <w:tcBorders>
              <w:top w:val="single" w:sz="12" w:space="0" w:color="auto"/>
              <w:left w:val="single" w:sz="6" w:space="0" w:color="auto"/>
              <w:bottom w:val="single" w:sz="6" w:space="0" w:color="auto"/>
              <w:right w:val="single" w:sz="12" w:space="0" w:color="auto"/>
            </w:tcBorders>
            <w:shd w:val="clear" w:color="auto" w:fill="FFFFFF"/>
            <w:vAlign w:val="center"/>
            <w:hideMark/>
          </w:tcPr>
          <w:p w14:paraId="18EC58D8" w14:textId="19A8ED96" w:rsidR="00841DA0" w:rsidRPr="00A82FB4" w:rsidRDefault="00841DA0" w:rsidP="000D63AC">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 xml:space="preserve">Recommandations de sécurité </w:t>
            </w:r>
            <w:r w:rsidR="00930B28" w:rsidRPr="00A82FB4">
              <w:rPr>
                <w:rFonts w:ascii="Calibri" w:eastAsia="Times New Roman" w:hAnsi="Calibri" w:cs="Calibri"/>
                <w:b/>
                <w:bCs/>
                <w:kern w:val="0"/>
                <w:lang w:val="fr-FR" w:eastAsia="zh-CN"/>
                <w14:ligatures w14:val="none"/>
              </w:rPr>
              <w:t>d</w:t>
            </w:r>
            <w:r w:rsidR="00930B28" w:rsidRPr="00A82FB4">
              <w:rPr>
                <w:rFonts w:eastAsia="Times New Roman"/>
                <w:b/>
                <w:bCs/>
                <w:kern w:val="0"/>
                <w:lang w:val="fr-FR" w:eastAsia="zh-CN"/>
                <w14:ligatures w14:val="none"/>
              </w:rPr>
              <w:t>e SFN</w:t>
            </w:r>
            <w:r w:rsidRPr="00A82FB4">
              <w:rPr>
                <w:rFonts w:ascii="Calibri" w:eastAsia="Times New Roman" w:hAnsi="Calibri" w:cs="Calibri"/>
                <w:b/>
                <w:bCs/>
                <w:kern w:val="0"/>
                <w:lang w:val="fr-FR" w:eastAsia="zh-CN"/>
                <w14:ligatures w14:val="none"/>
              </w:rPr>
              <w:t xml:space="preserve"> de l'UIT</w:t>
            </w:r>
            <w:r w:rsidRPr="00A82FB4">
              <w:rPr>
                <w:rFonts w:ascii="Calibri" w:eastAsia="Times New Roman" w:hAnsi="Calibri" w:cs="Calibri"/>
                <w:kern w:val="0"/>
                <w:lang w:val="fr-FR" w:eastAsia="zh-CN"/>
                <w14:ligatures w14:val="none"/>
              </w:rPr>
              <w:t xml:space="preserve"> – Partie 2 - </w:t>
            </w:r>
            <w:hyperlink r:id="rId23" w:tgtFrame="_blank" w:history="1">
              <w:r w:rsidRPr="00A82FB4">
                <w:rPr>
                  <w:rFonts w:ascii="Calibri" w:eastAsia="Times New Roman" w:hAnsi="Calibri" w:cs="Calibri"/>
                  <w:color w:val="0000FF"/>
                  <w:kern w:val="0"/>
                  <w:u w:val="single"/>
                  <w:lang w:val="fr-FR" w:eastAsia="zh-CN"/>
                  <w14:ligatures w14:val="none"/>
                </w:rPr>
                <w:t>Bonnes pratiques en matière de sécurité des applications</w:t>
              </w:r>
            </w:hyperlink>
            <w:r w:rsidRPr="00A82FB4">
              <w:rPr>
                <w:rFonts w:ascii="Calibri" w:eastAsia="Times New Roman" w:hAnsi="Calibri" w:cs="Calibri"/>
                <w:kern w:val="0"/>
                <w:lang w:val="fr-FR" w:eastAsia="zh-CN"/>
                <w14:ligatures w14:val="none"/>
              </w:rPr>
              <w:t>  </w:t>
            </w:r>
          </w:p>
          <w:p w14:paraId="3E191290" w14:textId="6CA6BF7A" w:rsidR="00841DA0" w:rsidRPr="00A82FB4" w:rsidRDefault="00841DA0" w:rsidP="000D63AC">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 xml:space="preserve">Alors que les cybermenaces </w:t>
            </w:r>
            <w:r w:rsidR="0079214F" w:rsidRPr="00A82FB4">
              <w:rPr>
                <w:rFonts w:ascii="Calibri" w:eastAsia="Times New Roman" w:hAnsi="Calibri" w:cs="Calibri"/>
                <w:kern w:val="0"/>
                <w:lang w:val="fr-FR" w:eastAsia="zh-CN"/>
                <w14:ligatures w14:val="none"/>
              </w:rPr>
              <w:t>d</w:t>
            </w:r>
            <w:r w:rsidR="0079214F" w:rsidRPr="00A82FB4">
              <w:rPr>
                <w:rFonts w:eastAsia="Times New Roman"/>
                <w:kern w:val="0"/>
                <w:lang w:val="fr-FR" w:eastAsia="zh-CN"/>
                <w14:ligatures w14:val="none"/>
              </w:rPr>
              <w:t>e SFN</w:t>
            </w:r>
            <w:r w:rsidRPr="00A82FB4">
              <w:rPr>
                <w:rFonts w:ascii="Calibri" w:eastAsia="Times New Roman" w:hAnsi="Calibri" w:cs="Calibri"/>
                <w:kern w:val="0"/>
                <w:lang w:val="fr-FR" w:eastAsia="zh-CN"/>
                <w14:ligatures w14:val="none"/>
              </w:rPr>
              <w:t xml:space="preserve"> continuent d'évoluer, la protection des applications contre les vulnérabilités devient primordiale. Cette session explorera les tests de sécurité continus et l'intégration de la sécurité dans le cycle de vie du développement. Les régulateurs, les développeurs, les analystes de sécurité ou les responsables informatiques repartiront avec une compréhension de la mise en œuvre de mesures de sécurité robustes qui s'alignent sur les normes de l'industrie, garantissant ainsi la sécurité et l'intégrité des applications </w:t>
            </w:r>
            <w:r w:rsidR="0079214F" w:rsidRPr="00A82FB4">
              <w:rPr>
                <w:rFonts w:ascii="Calibri" w:eastAsia="Times New Roman" w:hAnsi="Calibri" w:cs="Calibri"/>
                <w:kern w:val="0"/>
                <w:lang w:val="fr-FR" w:eastAsia="zh-CN"/>
                <w14:ligatures w14:val="none"/>
              </w:rPr>
              <w:t>d</w:t>
            </w:r>
            <w:r w:rsidR="0079214F" w:rsidRPr="00A82FB4">
              <w:rPr>
                <w:rFonts w:eastAsia="Times New Roman"/>
                <w:kern w:val="0"/>
                <w:lang w:val="fr-FR" w:eastAsia="zh-CN"/>
                <w14:ligatures w14:val="none"/>
              </w:rPr>
              <w:t>e SFN</w:t>
            </w:r>
            <w:r w:rsidRPr="00A82FB4">
              <w:rPr>
                <w:rFonts w:ascii="Calibri" w:eastAsia="Times New Roman" w:hAnsi="Calibri" w:cs="Calibri"/>
                <w:kern w:val="0"/>
                <w:lang w:val="fr-FR" w:eastAsia="zh-CN"/>
                <w14:ligatures w14:val="none"/>
              </w:rPr>
              <w:t>.</w:t>
            </w:r>
          </w:p>
          <w:p w14:paraId="34C7BF6D" w14:textId="72C8761C"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Intervenant :</w:t>
            </w:r>
            <w:r w:rsidR="00841DA0" w:rsidRPr="00C55983">
              <w:rPr>
                <w:rFonts w:ascii="Calibri" w:eastAsia="Times New Roman" w:hAnsi="Calibri" w:cs="Calibri"/>
                <w:b/>
                <w:bCs/>
                <w:kern w:val="0"/>
                <w:lang w:val="fr-FR" w:eastAsia="zh-CN"/>
                <w14:ligatures w14:val="none"/>
              </w:rPr>
              <w:t xml:space="preserve"> à confirmer</w:t>
            </w:r>
          </w:p>
        </w:tc>
      </w:tr>
      <w:tr w:rsidR="00C55983" w:rsidRPr="00A82FB4" w14:paraId="5B19580B" w14:textId="77777777" w:rsidTr="00D51A3E">
        <w:trPr>
          <w:trHeight w:val="300"/>
        </w:trPr>
        <w:tc>
          <w:tcPr>
            <w:tcW w:w="1410" w:type="dxa"/>
            <w:tcBorders>
              <w:top w:val="single" w:sz="12" w:space="0" w:color="auto"/>
              <w:left w:val="single" w:sz="12" w:space="0" w:color="auto"/>
              <w:bottom w:val="single" w:sz="6" w:space="0" w:color="auto"/>
              <w:right w:val="single" w:sz="6" w:space="0" w:color="auto"/>
            </w:tcBorders>
            <w:shd w:val="clear" w:color="auto" w:fill="44546A"/>
            <w:vAlign w:val="center"/>
            <w:hideMark/>
          </w:tcPr>
          <w:p w14:paraId="32AC4E52" w14:textId="2637C566" w:rsidR="008041F6" w:rsidRPr="00A82FB4" w:rsidRDefault="001A50D4"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14 :</w:t>
            </w:r>
            <w:r w:rsidR="008041F6" w:rsidRPr="00A82FB4">
              <w:rPr>
                <w:rFonts w:ascii="Calibri" w:eastAsia="Times New Roman" w:hAnsi="Calibri" w:cs="Calibri"/>
                <w:b/>
                <w:bCs/>
                <w:kern w:val="0"/>
                <w:lang w:val="fr-FR" w:eastAsia="zh-CN"/>
                <w14:ligatures w14:val="none"/>
              </w:rPr>
              <w:t>45-</w:t>
            </w:r>
            <w:r w:rsidRPr="00A82FB4">
              <w:rPr>
                <w:rFonts w:ascii="Calibri" w:eastAsia="Times New Roman" w:hAnsi="Calibri" w:cs="Calibri"/>
                <w:b/>
                <w:bCs/>
                <w:kern w:val="0"/>
                <w:lang w:val="fr-FR" w:eastAsia="zh-CN"/>
                <w14:ligatures w14:val="none"/>
              </w:rPr>
              <w:t>15 :</w:t>
            </w:r>
            <w:r w:rsidR="008041F6" w:rsidRPr="00A82FB4">
              <w:rPr>
                <w:rFonts w:ascii="Calibri" w:eastAsia="Times New Roman" w:hAnsi="Calibri" w:cs="Calibri"/>
                <w:b/>
                <w:bCs/>
                <w:kern w:val="0"/>
                <w:lang w:val="fr-FR" w:eastAsia="zh-CN"/>
                <w14:ligatures w14:val="none"/>
              </w:rPr>
              <w:t>00</w:t>
            </w:r>
            <w:r w:rsidR="008041F6" w:rsidRPr="00A82FB4">
              <w:rPr>
                <w:rFonts w:ascii="Calibri" w:eastAsia="Times New Roman" w:hAnsi="Calibri" w:cs="Calibri"/>
                <w:kern w:val="0"/>
                <w:lang w:val="fr-FR" w:eastAsia="zh-CN"/>
                <w14:ligatures w14:val="none"/>
              </w:rPr>
              <w:t> </w:t>
            </w:r>
          </w:p>
        </w:tc>
        <w:tc>
          <w:tcPr>
            <w:tcW w:w="8355" w:type="dxa"/>
            <w:tcBorders>
              <w:top w:val="single" w:sz="12" w:space="0" w:color="auto"/>
              <w:left w:val="single" w:sz="6" w:space="0" w:color="auto"/>
              <w:bottom w:val="single" w:sz="6" w:space="0" w:color="auto"/>
              <w:right w:val="single" w:sz="12" w:space="0" w:color="auto"/>
            </w:tcBorders>
            <w:shd w:val="clear" w:color="auto" w:fill="44546A"/>
            <w:vAlign w:val="center"/>
            <w:hideMark/>
          </w:tcPr>
          <w:p w14:paraId="17455D4F" w14:textId="449CACC7" w:rsidR="008041F6" w:rsidRPr="00A82FB4" w:rsidRDefault="00386543"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Pause-Café</w:t>
            </w:r>
          </w:p>
        </w:tc>
      </w:tr>
      <w:tr w:rsidR="00C55983" w:rsidRPr="00A82FB4" w14:paraId="00FFB23D" w14:textId="77777777" w:rsidTr="00D51A3E">
        <w:trPr>
          <w:trHeight w:val="300"/>
        </w:trPr>
        <w:tc>
          <w:tcPr>
            <w:tcW w:w="1410" w:type="dxa"/>
            <w:tcBorders>
              <w:top w:val="single" w:sz="6" w:space="0" w:color="auto"/>
              <w:left w:val="single" w:sz="12" w:space="0" w:color="auto"/>
              <w:bottom w:val="single" w:sz="6" w:space="0" w:color="auto"/>
              <w:right w:val="single" w:sz="6" w:space="0" w:color="auto"/>
            </w:tcBorders>
            <w:shd w:val="clear" w:color="auto" w:fill="D5DCE4"/>
            <w:vAlign w:val="center"/>
            <w:hideMark/>
          </w:tcPr>
          <w:p w14:paraId="76538E9C" w14:textId="2A679110" w:rsidR="008041F6" w:rsidRPr="00A82FB4" w:rsidRDefault="00386543"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15 :</w:t>
            </w:r>
            <w:r w:rsidR="008041F6" w:rsidRPr="00A82FB4">
              <w:rPr>
                <w:rFonts w:ascii="Calibri" w:eastAsia="Times New Roman" w:hAnsi="Calibri" w:cs="Calibri"/>
                <w:kern w:val="0"/>
                <w:lang w:val="fr-FR" w:eastAsia="zh-CN"/>
                <w14:ligatures w14:val="none"/>
              </w:rPr>
              <w:t>00-</w:t>
            </w:r>
            <w:r w:rsidRPr="00A82FB4">
              <w:rPr>
                <w:rFonts w:ascii="Calibri" w:eastAsia="Times New Roman" w:hAnsi="Calibri" w:cs="Calibri"/>
                <w:kern w:val="0"/>
                <w:lang w:val="fr-FR" w:eastAsia="zh-CN"/>
                <w14:ligatures w14:val="none"/>
              </w:rPr>
              <w:t>16 :</w:t>
            </w:r>
            <w:r w:rsidR="008041F6" w:rsidRPr="00A82FB4">
              <w:rPr>
                <w:rFonts w:ascii="Calibri" w:eastAsia="Times New Roman" w:hAnsi="Calibri" w:cs="Calibri"/>
                <w:kern w:val="0"/>
                <w:lang w:val="fr-FR" w:eastAsia="zh-CN"/>
                <w14:ligatures w14:val="none"/>
              </w:rPr>
              <w:t>00 </w:t>
            </w:r>
          </w:p>
        </w:tc>
        <w:tc>
          <w:tcPr>
            <w:tcW w:w="8355"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0A75D0D1" w14:textId="77777777" w:rsidR="00F84BFE" w:rsidRPr="00A82FB4" w:rsidRDefault="00F84BFE" w:rsidP="00742058">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Cadre de cyberrésilience des SFN</w:t>
            </w:r>
          </w:p>
          <w:p w14:paraId="64D89BC5" w14:textId="77777777" w:rsidR="00F84BFE" w:rsidRPr="00A82FB4" w:rsidRDefault="00F84BFE" w:rsidP="00742058">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 xml:space="preserve">Cette session présentera le kit d'outils de cyberrésilience de l'UIT pour les régulateurs afin de protéger les infrastructures financières numériques critiques. Cette séance </w:t>
            </w:r>
            <w:r w:rsidRPr="00A82FB4">
              <w:rPr>
                <w:rFonts w:ascii="Calibri" w:eastAsia="Times New Roman" w:hAnsi="Calibri" w:cs="Calibri"/>
                <w:kern w:val="0"/>
                <w:lang w:val="fr-FR" w:eastAsia="zh-CN"/>
                <w14:ligatures w14:val="none"/>
              </w:rPr>
              <w:lastRenderedPageBreak/>
              <w:t>comprendra également un exercice conçu comme une séance interactive sur table, où les participants ont été organisés en groupes, chacun se concentrant sur un aspect distinct de la cybersécurité : gestion des risques, gouvernance, essais, formation et sensibilisation, protection et réponse aux incidents.</w:t>
            </w:r>
          </w:p>
          <w:p w14:paraId="1374C03D" w14:textId="2214639A" w:rsidR="008041F6" w:rsidRPr="00A82FB4" w:rsidRDefault="00386543" w:rsidP="00D51A3E">
            <w:pPr>
              <w:spacing w:after="0" w:line="240" w:lineRule="auto"/>
              <w:jc w:val="both"/>
              <w:textAlignment w:val="baseline"/>
              <w:rPr>
                <w:rFonts w:ascii="Calibri" w:eastAsia="Times New Roman" w:hAnsi="Calibri" w:cs="Calibri"/>
                <w:kern w:val="0"/>
                <w:lang w:val="fr-FR" w:eastAsia="zh-CN"/>
                <w14:ligatures w14:val="none"/>
              </w:rPr>
            </w:pPr>
            <w:r w:rsidRPr="00C55983">
              <w:rPr>
                <w:rFonts w:ascii="Calibri" w:eastAsia="Times New Roman" w:hAnsi="Calibri" w:cs="Calibri"/>
                <w:b/>
                <w:bCs/>
                <w:kern w:val="0"/>
                <w:lang w:val="fr-FR" w:eastAsia="zh-CN"/>
                <w14:ligatures w14:val="none"/>
              </w:rPr>
              <w:t>Intervenant :</w:t>
            </w:r>
            <w:r w:rsidR="00F84BFE" w:rsidRPr="00C55983">
              <w:rPr>
                <w:rFonts w:ascii="Calibri" w:eastAsia="Times New Roman" w:hAnsi="Calibri" w:cs="Calibri"/>
                <w:b/>
                <w:bCs/>
                <w:kern w:val="0"/>
                <w:lang w:val="fr-FR" w:eastAsia="zh-CN"/>
                <w14:ligatures w14:val="none"/>
              </w:rPr>
              <w:t xml:space="preserve"> à confirmer</w:t>
            </w:r>
          </w:p>
        </w:tc>
      </w:tr>
      <w:tr w:rsidR="00C55983" w:rsidRPr="00A82FB4" w14:paraId="07A703DA" w14:textId="77777777" w:rsidTr="00D51A3E">
        <w:trPr>
          <w:trHeight w:val="300"/>
        </w:trPr>
        <w:tc>
          <w:tcPr>
            <w:tcW w:w="1410" w:type="dxa"/>
            <w:tcBorders>
              <w:top w:val="single" w:sz="6" w:space="0" w:color="auto"/>
              <w:left w:val="single" w:sz="12" w:space="0" w:color="auto"/>
              <w:bottom w:val="single" w:sz="6" w:space="0" w:color="auto"/>
              <w:right w:val="single" w:sz="6" w:space="0" w:color="auto"/>
            </w:tcBorders>
            <w:shd w:val="clear" w:color="auto" w:fill="D5DCE4"/>
            <w:vAlign w:val="center"/>
            <w:hideMark/>
          </w:tcPr>
          <w:p w14:paraId="6C658BF9" w14:textId="319903E8" w:rsidR="008041F6" w:rsidRPr="00A82FB4" w:rsidRDefault="0075701C"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lastRenderedPageBreak/>
              <w:t>16 :</w:t>
            </w:r>
            <w:r w:rsidR="008041F6" w:rsidRPr="00A82FB4">
              <w:rPr>
                <w:rFonts w:ascii="Calibri" w:eastAsia="Times New Roman" w:hAnsi="Calibri" w:cs="Calibri"/>
                <w:kern w:val="0"/>
                <w:lang w:val="fr-FR" w:eastAsia="zh-CN"/>
                <w14:ligatures w14:val="none"/>
              </w:rPr>
              <w:t xml:space="preserve">00 – </w:t>
            </w:r>
            <w:r w:rsidR="00A82FB4" w:rsidRPr="00A82FB4">
              <w:rPr>
                <w:rFonts w:ascii="Calibri" w:eastAsia="Times New Roman" w:hAnsi="Calibri" w:cs="Calibri"/>
                <w:kern w:val="0"/>
                <w:lang w:val="fr-FR" w:eastAsia="zh-CN"/>
                <w14:ligatures w14:val="none"/>
              </w:rPr>
              <w:t>17 :</w:t>
            </w:r>
            <w:r w:rsidR="008041F6" w:rsidRPr="00A82FB4">
              <w:rPr>
                <w:rFonts w:ascii="Calibri" w:eastAsia="Times New Roman" w:hAnsi="Calibri" w:cs="Calibri"/>
                <w:kern w:val="0"/>
                <w:lang w:val="fr-FR" w:eastAsia="zh-CN"/>
                <w14:ligatures w14:val="none"/>
              </w:rPr>
              <w:t>00  </w:t>
            </w:r>
          </w:p>
        </w:tc>
        <w:tc>
          <w:tcPr>
            <w:tcW w:w="8355"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556C0354" w14:textId="7976B308" w:rsidR="005F21BB" w:rsidRPr="00A82FB4" w:rsidRDefault="008041F6" w:rsidP="00855E82">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b/>
                <w:bCs/>
                <w:kern w:val="0"/>
                <w:lang w:val="fr-FR" w:eastAsia="zh-CN"/>
                <w14:ligatures w14:val="none"/>
              </w:rPr>
              <w:t>​</w:t>
            </w:r>
            <w:r w:rsidR="005F21BB" w:rsidRPr="00A82FB4">
              <w:rPr>
                <w:rFonts w:ascii="Calibri" w:eastAsia="Times New Roman" w:hAnsi="Calibri" w:cs="Calibri"/>
                <w:b/>
                <w:bCs/>
                <w:kern w:val="0"/>
                <w:lang w:val="fr-FR" w:eastAsia="zh-CN"/>
                <w14:ligatures w14:val="none"/>
              </w:rPr>
              <w:t>Discussion ouverte : Adoption des recommandations de sécurité de SFN de l'UIT</w:t>
            </w:r>
          </w:p>
          <w:p w14:paraId="3BCECD4E" w14:textId="76AF1ABF" w:rsidR="008041F6" w:rsidRPr="00A82FB4" w:rsidRDefault="005F21BB" w:rsidP="00D51A3E">
            <w:pPr>
              <w:spacing w:after="0" w:line="240" w:lineRule="auto"/>
              <w:jc w:val="both"/>
              <w:textAlignment w:val="baseline"/>
              <w:rPr>
                <w:rFonts w:ascii="Calibri" w:eastAsia="Times New Roman" w:hAnsi="Calibri" w:cs="Calibri"/>
                <w:kern w:val="0"/>
                <w:lang w:val="fr-FR" w:eastAsia="zh-CN"/>
                <w14:ligatures w14:val="none"/>
              </w:rPr>
            </w:pPr>
            <w:r w:rsidRPr="00A82FB4">
              <w:rPr>
                <w:rFonts w:ascii="Calibri" w:eastAsia="Times New Roman" w:hAnsi="Calibri" w:cs="Calibri"/>
                <w:kern w:val="0"/>
                <w:lang w:val="fr-FR" w:eastAsia="zh-CN"/>
                <w14:ligatures w14:val="none"/>
              </w:rPr>
              <w:t>Cette séance offrira un forum sur les prochaines étapes de l'adoption des recommandations de sécurité DFS par les membres de l'ARTAC.</w:t>
            </w:r>
          </w:p>
        </w:tc>
      </w:tr>
    </w:tbl>
    <w:p w14:paraId="2D4B85DB" w14:textId="77777777" w:rsidR="008041F6" w:rsidRPr="00A82FB4" w:rsidRDefault="008041F6" w:rsidP="008041F6">
      <w:pPr>
        <w:shd w:val="clear" w:color="auto" w:fill="FFFFFF"/>
        <w:spacing w:after="0" w:line="276" w:lineRule="auto"/>
        <w:jc w:val="both"/>
        <w:textAlignment w:val="baseline"/>
        <w:rPr>
          <w:rStyle w:val="normaltextrun"/>
          <w:rFonts w:ascii="Calibri" w:hAnsi="Calibri" w:cs="Calibri"/>
          <w:lang w:val="fr-FR"/>
        </w:rPr>
      </w:pPr>
    </w:p>
    <w:p w14:paraId="4500C962" w14:textId="77777777" w:rsidR="008041F6" w:rsidRPr="00A82FB4" w:rsidRDefault="008041F6" w:rsidP="00F30C64">
      <w:pPr>
        <w:jc w:val="center"/>
        <w:rPr>
          <w:rFonts w:ascii="Calibri" w:hAnsi="Calibri" w:cs="Calibri"/>
          <w:b/>
          <w:bCs/>
          <w:sz w:val="28"/>
          <w:szCs w:val="28"/>
          <w:lang w:val="fr-FR"/>
        </w:rPr>
      </w:pPr>
    </w:p>
    <w:p w14:paraId="29F103C6" w14:textId="77777777" w:rsidR="00B21BA5" w:rsidRPr="00A82FB4" w:rsidRDefault="00B21BA5">
      <w:pPr>
        <w:rPr>
          <w:lang w:val="fr-FR"/>
        </w:rPr>
      </w:pPr>
    </w:p>
    <w:sectPr w:rsidR="00B21BA5" w:rsidRPr="00A82FB4">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5BAA" w14:textId="77777777" w:rsidR="006B0C37" w:rsidRDefault="006B0C37" w:rsidP="000B3038">
      <w:pPr>
        <w:spacing w:after="0" w:line="240" w:lineRule="auto"/>
      </w:pPr>
      <w:r>
        <w:separator/>
      </w:r>
    </w:p>
  </w:endnote>
  <w:endnote w:type="continuationSeparator" w:id="0">
    <w:p w14:paraId="0E58731F" w14:textId="77777777" w:rsidR="006B0C37" w:rsidRDefault="006B0C37" w:rsidP="000B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66DB" w14:textId="77777777" w:rsidR="006B0C37" w:rsidRDefault="006B0C37" w:rsidP="000B3038">
      <w:pPr>
        <w:spacing w:after="0" w:line="240" w:lineRule="auto"/>
      </w:pPr>
      <w:r>
        <w:separator/>
      </w:r>
    </w:p>
  </w:footnote>
  <w:footnote w:type="continuationSeparator" w:id="0">
    <w:p w14:paraId="755C994B" w14:textId="77777777" w:rsidR="006B0C37" w:rsidRDefault="006B0C37" w:rsidP="000B3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D139" w14:textId="07593F6A" w:rsidR="000B3038" w:rsidRDefault="00824FF6">
    <w:pPr>
      <w:pStyle w:val="En-tte"/>
      <w:rPr>
        <w:noProof/>
      </w:rPr>
    </w:pPr>
    <w:r>
      <w:rPr>
        <w:noProof/>
      </w:rPr>
      <w:drawing>
        <wp:inline distT="0" distB="0" distL="0" distR="0" wp14:anchorId="351E8546" wp14:editId="30A00F87">
          <wp:extent cx="501650" cy="529883"/>
          <wp:effectExtent l="0" t="0" r="0" b="3810"/>
          <wp:docPr id="22718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56" cy="540241"/>
                  </a:xfrm>
                  <a:prstGeom prst="rect">
                    <a:avLst/>
                  </a:prstGeom>
                  <a:noFill/>
                  <a:ln>
                    <a:noFill/>
                  </a:ln>
                </pic:spPr>
              </pic:pic>
            </a:graphicData>
          </a:graphic>
        </wp:inline>
      </w:drawing>
    </w:r>
    <w:r w:rsidR="00E94718">
      <w:rPr>
        <w:noProof/>
      </w:rPr>
      <w:t xml:space="preserve">                                                                                                                                                     </w:t>
    </w:r>
    <w:r w:rsidR="000B3038">
      <w:rPr>
        <w:noProof/>
      </w:rPr>
      <w:drawing>
        <wp:inline distT="0" distB="0" distL="0" distR="0" wp14:anchorId="36F78D17" wp14:editId="51EC74B6">
          <wp:extent cx="497205" cy="59118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r:embed="rId2"/>
                  <a:srcRect/>
                  <a:stretch>
                    <a:fillRect/>
                  </a:stretch>
                </pic:blipFill>
                <pic:spPr>
                  <a:xfrm>
                    <a:off x="0" y="0"/>
                    <a:ext cx="497205" cy="591185"/>
                  </a:xfrm>
                  <a:prstGeom prst="rect">
                    <a:avLst/>
                  </a:prstGeom>
                  <a:ln/>
                </pic:spPr>
              </pic:pic>
            </a:graphicData>
          </a:graphic>
        </wp:inline>
      </w:drawing>
    </w:r>
  </w:p>
  <w:p w14:paraId="2A29B432" w14:textId="77777777" w:rsidR="005D2260" w:rsidRDefault="005D22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A03"/>
    <w:multiLevelType w:val="multilevel"/>
    <w:tmpl w:val="797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176E2"/>
    <w:multiLevelType w:val="multilevel"/>
    <w:tmpl w:val="3AF051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496594"/>
    <w:multiLevelType w:val="multilevel"/>
    <w:tmpl w:val="44942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0130CE"/>
    <w:multiLevelType w:val="multilevel"/>
    <w:tmpl w:val="1696E5A4"/>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 w15:restartNumberingAfterBreak="0">
    <w:nsid w:val="13096FB8"/>
    <w:multiLevelType w:val="multilevel"/>
    <w:tmpl w:val="D92AC7EE"/>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 w15:restartNumberingAfterBreak="0">
    <w:nsid w:val="18330EF0"/>
    <w:multiLevelType w:val="multilevel"/>
    <w:tmpl w:val="9960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13FFB"/>
    <w:multiLevelType w:val="hybridMultilevel"/>
    <w:tmpl w:val="FFFFFFFF"/>
    <w:lvl w:ilvl="0" w:tplc="31C240C6">
      <w:start w:val="1"/>
      <w:numFmt w:val="decimal"/>
      <w:lvlText w:val="%1."/>
      <w:lvlJc w:val="left"/>
      <w:pPr>
        <w:ind w:left="720" w:hanging="360"/>
      </w:pPr>
    </w:lvl>
    <w:lvl w:ilvl="1" w:tplc="3B744B5A">
      <w:start w:val="1"/>
      <w:numFmt w:val="lowerLetter"/>
      <w:lvlText w:val="%2."/>
      <w:lvlJc w:val="left"/>
      <w:pPr>
        <w:ind w:left="1440" w:hanging="360"/>
      </w:pPr>
    </w:lvl>
    <w:lvl w:ilvl="2" w:tplc="26E0D41E">
      <w:start w:val="1"/>
      <w:numFmt w:val="lowerRoman"/>
      <w:lvlText w:val="%3."/>
      <w:lvlJc w:val="right"/>
      <w:pPr>
        <w:ind w:left="2160" w:hanging="180"/>
      </w:pPr>
    </w:lvl>
    <w:lvl w:ilvl="3" w:tplc="2F4243DE">
      <w:start w:val="1"/>
      <w:numFmt w:val="decimal"/>
      <w:lvlText w:val="%4."/>
      <w:lvlJc w:val="left"/>
      <w:pPr>
        <w:ind w:left="2880" w:hanging="360"/>
      </w:pPr>
    </w:lvl>
    <w:lvl w:ilvl="4" w:tplc="2E806168">
      <w:start w:val="1"/>
      <w:numFmt w:val="lowerLetter"/>
      <w:lvlText w:val="%5."/>
      <w:lvlJc w:val="left"/>
      <w:pPr>
        <w:ind w:left="3600" w:hanging="360"/>
      </w:pPr>
    </w:lvl>
    <w:lvl w:ilvl="5" w:tplc="690EA46C">
      <w:start w:val="1"/>
      <w:numFmt w:val="lowerRoman"/>
      <w:lvlText w:val="%6."/>
      <w:lvlJc w:val="right"/>
      <w:pPr>
        <w:ind w:left="4320" w:hanging="180"/>
      </w:pPr>
    </w:lvl>
    <w:lvl w:ilvl="6" w:tplc="6E5A0D54">
      <w:start w:val="1"/>
      <w:numFmt w:val="decimal"/>
      <w:lvlText w:val="%7."/>
      <w:lvlJc w:val="left"/>
      <w:pPr>
        <w:ind w:left="5040" w:hanging="360"/>
      </w:pPr>
    </w:lvl>
    <w:lvl w:ilvl="7" w:tplc="90A0B0BE">
      <w:start w:val="1"/>
      <w:numFmt w:val="lowerLetter"/>
      <w:lvlText w:val="%8."/>
      <w:lvlJc w:val="left"/>
      <w:pPr>
        <w:ind w:left="5760" w:hanging="360"/>
      </w:pPr>
    </w:lvl>
    <w:lvl w:ilvl="8" w:tplc="F30CB652">
      <w:start w:val="1"/>
      <w:numFmt w:val="lowerRoman"/>
      <w:lvlText w:val="%9."/>
      <w:lvlJc w:val="right"/>
      <w:pPr>
        <w:ind w:left="6480" w:hanging="180"/>
      </w:pPr>
    </w:lvl>
  </w:abstractNum>
  <w:abstractNum w:abstractNumId="7" w15:restartNumberingAfterBreak="0">
    <w:nsid w:val="1EF37E0A"/>
    <w:multiLevelType w:val="multilevel"/>
    <w:tmpl w:val="ECD6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F1C5E"/>
    <w:multiLevelType w:val="multilevel"/>
    <w:tmpl w:val="E08C1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323288"/>
    <w:multiLevelType w:val="hybridMultilevel"/>
    <w:tmpl w:val="6F6A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860EF"/>
    <w:multiLevelType w:val="multilevel"/>
    <w:tmpl w:val="D92AC7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49D37A8"/>
    <w:multiLevelType w:val="multilevel"/>
    <w:tmpl w:val="D92AC7EE"/>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2" w15:restartNumberingAfterBreak="0">
    <w:nsid w:val="3978F16B"/>
    <w:multiLevelType w:val="hybridMultilevel"/>
    <w:tmpl w:val="FFFFFFFF"/>
    <w:lvl w:ilvl="0" w:tplc="FB323BBE">
      <w:start w:val="1"/>
      <w:numFmt w:val="decimal"/>
      <w:lvlText w:val="%1."/>
      <w:lvlJc w:val="left"/>
      <w:pPr>
        <w:ind w:left="720" w:hanging="360"/>
      </w:pPr>
    </w:lvl>
    <w:lvl w:ilvl="1" w:tplc="3D2C286A">
      <w:start w:val="1"/>
      <w:numFmt w:val="lowerLetter"/>
      <w:lvlText w:val="%2."/>
      <w:lvlJc w:val="left"/>
      <w:pPr>
        <w:ind w:left="1440" w:hanging="360"/>
      </w:pPr>
    </w:lvl>
    <w:lvl w:ilvl="2" w:tplc="E57A0FA2">
      <w:start w:val="1"/>
      <w:numFmt w:val="lowerRoman"/>
      <w:lvlText w:val="%3."/>
      <w:lvlJc w:val="right"/>
      <w:pPr>
        <w:ind w:left="2160" w:hanging="180"/>
      </w:pPr>
    </w:lvl>
    <w:lvl w:ilvl="3" w:tplc="407C5B3A">
      <w:start w:val="1"/>
      <w:numFmt w:val="decimal"/>
      <w:lvlText w:val="%4."/>
      <w:lvlJc w:val="left"/>
      <w:pPr>
        <w:ind w:left="2880" w:hanging="360"/>
      </w:pPr>
    </w:lvl>
    <w:lvl w:ilvl="4" w:tplc="56322244">
      <w:start w:val="1"/>
      <w:numFmt w:val="lowerLetter"/>
      <w:lvlText w:val="%5."/>
      <w:lvlJc w:val="left"/>
      <w:pPr>
        <w:ind w:left="3600" w:hanging="360"/>
      </w:pPr>
    </w:lvl>
    <w:lvl w:ilvl="5" w:tplc="133E970A">
      <w:start w:val="1"/>
      <w:numFmt w:val="lowerRoman"/>
      <w:lvlText w:val="%6."/>
      <w:lvlJc w:val="right"/>
      <w:pPr>
        <w:ind w:left="4320" w:hanging="180"/>
      </w:pPr>
    </w:lvl>
    <w:lvl w:ilvl="6" w:tplc="F7CE37C8">
      <w:start w:val="1"/>
      <w:numFmt w:val="decimal"/>
      <w:lvlText w:val="%7."/>
      <w:lvlJc w:val="left"/>
      <w:pPr>
        <w:ind w:left="5040" w:hanging="360"/>
      </w:pPr>
    </w:lvl>
    <w:lvl w:ilvl="7" w:tplc="4DDC6040">
      <w:start w:val="1"/>
      <w:numFmt w:val="lowerLetter"/>
      <w:lvlText w:val="%8."/>
      <w:lvlJc w:val="left"/>
      <w:pPr>
        <w:ind w:left="5760" w:hanging="360"/>
      </w:pPr>
    </w:lvl>
    <w:lvl w:ilvl="8" w:tplc="D3CA924A">
      <w:start w:val="1"/>
      <w:numFmt w:val="lowerRoman"/>
      <w:lvlText w:val="%9."/>
      <w:lvlJc w:val="right"/>
      <w:pPr>
        <w:ind w:left="6480" w:hanging="180"/>
      </w:pPr>
    </w:lvl>
  </w:abstractNum>
  <w:abstractNum w:abstractNumId="13" w15:restartNumberingAfterBreak="0">
    <w:nsid w:val="3B8A5971"/>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 w15:restartNumberingAfterBreak="0">
    <w:nsid w:val="3D9F4A6A"/>
    <w:multiLevelType w:val="multilevel"/>
    <w:tmpl w:val="D92AC7EE"/>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5" w15:restartNumberingAfterBreak="0">
    <w:nsid w:val="3DF81EF9"/>
    <w:multiLevelType w:val="hybridMultilevel"/>
    <w:tmpl w:val="C388C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23179C"/>
    <w:multiLevelType w:val="hybridMultilevel"/>
    <w:tmpl w:val="C6C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84019"/>
    <w:multiLevelType w:val="multilevel"/>
    <w:tmpl w:val="673AB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B446D1"/>
    <w:multiLevelType w:val="multilevel"/>
    <w:tmpl w:val="07CC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77CF4"/>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0" w15:restartNumberingAfterBreak="0">
    <w:nsid w:val="4F8D0D63"/>
    <w:multiLevelType w:val="hybridMultilevel"/>
    <w:tmpl w:val="FBA0ADE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2294122"/>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2" w15:restartNumberingAfterBreak="0">
    <w:nsid w:val="55ABC891"/>
    <w:multiLevelType w:val="hybridMultilevel"/>
    <w:tmpl w:val="FFFFFFFF"/>
    <w:lvl w:ilvl="0" w:tplc="EFE0F016">
      <w:start w:val="3"/>
      <w:numFmt w:val="bullet"/>
      <w:lvlText w:val="-"/>
      <w:lvlJc w:val="left"/>
      <w:pPr>
        <w:ind w:left="720" w:hanging="360"/>
      </w:pPr>
      <w:rPr>
        <w:rFonts w:ascii="Calibri" w:hAnsi="Calibri" w:hint="default"/>
      </w:rPr>
    </w:lvl>
    <w:lvl w:ilvl="1" w:tplc="3F74CFC2">
      <w:start w:val="1"/>
      <w:numFmt w:val="bullet"/>
      <w:lvlText w:val="o"/>
      <w:lvlJc w:val="left"/>
      <w:pPr>
        <w:ind w:left="1440" w:hanging="360"/>
      </w:pPr>
      <w:rPr>
        <w:rFonts w:ascii="Courier New" w:hAnsi="Courier New" w:hint="default"/>
      </w:rPr>
    </w:lvl>
    <w:lvl w:ilvl="2" w:tplc="F2AEAF4C">
      <w:start w:val="1"/>
      <w:numFmt w:val="bullet"/>
      <w:lvlText w:val=""/>
      <w:lvlJc w:val="left"/>
      <w:pPr>
        <w:ind w:left="2160" w:hanging="360"/>
      </w:pPr>
      <w:rPr>
        <w:rFonts w:ascii="Wingdings" w:hAnsi="Wingdings" w:hint="default"/>
      </w:rPr>
    </w:lvl>
    <w:lvl w:ilvl="3" w:tplc="84F08786">
      <w:start w:val="1"/>
      <w:numFmt w:val="bullet"/>
      <w:lvlText w:val=""/>
      <w:lvlJc w:val="left"/>
      <w:pPr>
        <w:ind w:left="2880" w:hanging="360"/>
      </w:pPr>
      <w:rPr>
        <w:rFonts w:ascii="Symbol" w:hAnsi="Symbol" w:hint="default"/>
      </w:rPr>
    </w:lvl>
    <w:lvl w:ilvl="4" w:tplc="C10448AC">
      <w:start w:val="1"/>
      <w:numFmt w:val="bullet"/>
      <w:lvlText w:val="o"/>
      <w:lvlJc w:val="left"/>
      <w:pPr>
        <w:ind w:left="3600" w:hanging="360"/>
      </w:pPr>
      <w:rPr>
        <w:rFonts w:ascii="Courier New" w:hAnsi="Courier New" w:hint="default"/>
      </w:rPr>
    </w:lvl>
    <w:lvl w:ilvl="5" w:tplc="7384FEB2">
      <w:start w:val="1"/>
      <w:numFmt w:val="bullet"/>
      <w:lvlText w:val=""/>
      <w:lvlJc w:val="left"/>
      <w:pPr>
        <w:ind w:left="4320" w:hanging="360"/>
      </w:pPr>
      <w:rPr>
        <w:rFonts w:ascii="Wingdings" w:hAnsi="Wingdings" w:hint="default"/>
      </w:rPr>
    </w:lvl>
    <w:lvl w:ilvl="6" w:tplc="B5921F40">
      <w:start w:val="1"/>
      <w:numFmt w:val="bullet"/>
      <w:lvlText w:val=""/>
      <w:lvlJc w:val="left"/>
      <w:pPr>
        <w:ind w:left="5040" w:hanging="360"/>
      </w:pPr>
      <w:rPr>
        <w:rFonts w:ascii="Symbol" w:hAnsi="Symbol" w:hint="default"/>
      </w:rPr>
    </w:lvl>
    <w:lvl w:ilvl="7" w:tplc="2F089BB6">
      <w:start w:val="1"/>
      <w:numFmt w:val="bullet"/>
      <w:lvlText w:val="o"/>
      <w:lvlJc w:val="left"/>
      <w:pPr>
        <w:ind w:left="5760" w:hanging="360"/>
      </w:pPr>
      <w:rPr>
        <w:rFonts w:ascii="Courier New" w:hAnsi="Courier New" w:hint="default"/>
      </w:rPr>
    </w:lvl>
    <w:lvl w:ilvl="8" w:tplc="1B144F58">
      <w:start w:val="1"/>
      <w:numFmt w:val="bullet"/>
      <w:lvlText w:val=""/>
      <w:lvlJc w:val="left"/>
      <w:pPr>
        <w:ind w:left="6480" w:hanging="360"/>
      </w:pPr>
      <w:rPr>
        <w:rFonts w:ascii="Wingdings" w:hAnsi="Wingdings" w:hint="default"/>
      </w:rPr>
    </w:lvl>
  </w:abstractNum>
  <w:abstractNum w:abstractNumId="23" w15:restartNumberingAfterBreak="0">
    <w:nsid w:val="56A53793"/>
    <w:multiLevelType w:val="multilevel"/>
    <w:tmpl w:val="8CE0F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273904"/>
    <w:multiLevelType w:val="multilevel"/>
    <w:tmpl w:val="F934D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EF23655"/>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6" w15:restartNumberingAfterBreak="0">
    <w:nsid w:val="66115DE5"/>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15:restartNumberingAfterBreak="0">
    <w:nsid w:val="676F49AE"/>
    <w:multiLevelType w:val="multilevel"/>
    <w:tmpl w:val="AA2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A7CD0"/>
    <w:multiLevelType w:val="multilevel"/>
    <w:tmpl w:val="3956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D5C3F"/>
    <w:multiLevelType w:val="multilevel"/>
    <w:tmpl w:val="7084F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40D7142"/>
    <w:multiLevelType w:val="hybridMultilevel"/>
    <w:tmpl w:val="721E7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C7678"/>
    <w:multiLevelType w:val="hybridMultilevel"/>
    <w:tmpl w:val="219A8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895BE3"/>
    <w:multiLevelType w:val="multilevel"/>
    <w:tmpl w:val="41164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3" w15:restartNumberingAfterBreak="0">
    <w:nsid w:val="7F6B7926"/>
    <w:multiLevelType w:val="multilevel"/>
    <w:tmpl w:val="F8489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502158">
    <w:abstractNumId w:val="7"/>
  </w:num>
  <w:num w:numId="2" w16cid:durableId="779111241">
    <w:abstractNumId w:val="31"/>
  </w:num>
  <w:num w:numId="3" w16cid:durableId="1293974865">
    <w:abstractNumId w:val="5"/>
  </w:num>
  <w:num w:numId="4" w16cid:durableId="1191727393">
    <w:abstractNumId w:val="28"/>
  </w:num>
  <w:num w:numId="5" w16cid:durableId="1038971554">
    <w:abstractNumId w:val="27"/>
  </w:num>
  <w:num w:numId="6" w16cid:durableId="972246960">
    <w:abstractNumId w:val="33"/>
  </w:num>
  <w:num w:numId="7" w16cid:durableId="691153550">
    <w:abstractNumId w:val="9"/>
  </w:num>
  <w:num w:numId="8" w16cid:durableId="796263387">
    <w:abstractNumId w:val="1"/>
  </w:num>
  <w:num w:numId="9" w16cid:durableId="1584072562">
    <w:abstractNumId w:val="29"/>
  </w:num>
  <w:num w:numId="10" w16cid:durableId="1319192074">
    <w:abstractNumId w:val="16"/>
  </w:num>
  <w:num w:numId="11" w16cid:durableId="914121326">
    <w:abstractNumId w:val="12"/>
  </w:num>
  <w:num w:numId="12" w16cid:durableId="1237595005">
    <w:abstractNumId w:val="6"/>
  </w:num>
  <w:num w:numId="13" w16cid:durableId="1509251592">
    <w:abstractNumId w:val="22"/>
  </w:num>
  <w:num w:numId="14" w16cid:durableId="368074047">
    <w:abstractNumId w:val="2"/>
  </w:num>
  <w:num w:numId="15" w16cid:durableId="2127580795">
    <w:abstractNumId w:val="8"/>
  </w:num>
  <w:num w:numId="16" w16cid:durableId="2061588763">
    <w:abstractNumId w:val="13"/>
  </w:num>
  <w:num w:numId="17" w16cid:durableId="1160388229">
    <w:abstractNumId w:val="26"/>
  </w:num>
  <w:num w:numId="18" w16cid:durableId="1112477512">
    <w:abstractNumId w:val="24"/>
  </w:num>
  <w:num w:numId="19" w16cid:durableId="1597127263">
    <w:abstractNumId w:val="32"/>
  </w:num>
  <w:num w:numId="20" w16cid:durableId="149950363">
    <w:abstractNumId w:val="19"/>
  </w:num>
  <w:num w:numId="21" w16cid:durableId="932861466">
    <w:abstractNumId w:val="21"/>
  </w:num>
  <w:num w:numId="22" w16cid:durableId="39130131">
    <w:abstractNumId w:val="25"/>
  </w:num>
  <w:num w:numId="23" w16cid:durableId="46808598">
    <w:abstractNumId w:val="3"/>
  </w:num>
  <w:num w:numId="24" w16cid:durableId="1277639303">
    <w:abstractNumId w:val="20"/>
  </w:num>
  <w:num w:numId="25" w16cid:durableId="1129593125">
    <w:abstractNumId w:val="30"/>
  </w:num>
  <w:num w:numId="26" w16cid:durableId="1237476251">
    <w:abstractNumId w:val="18"/>
  </w:num>
  <w:num w:numId="27" w16cid:durableId="1212690012">
    <w:abstractNumId w:val="0"/>
  </w:num>
  <w:num w:numId="28" w16cid:durableId="807161148">
    <w:abstractNumId w:val="15"/>
  </w:num>
  <w:num w:numId="29" w16cid:durableId="74741255">
    <w:abstractNumId w:val="23"/>
  </w:num>
  <w:num w:numId="30" w16cid:durableId="1369918253">
    <w:abstractNumId w:val="17"/>
  </w:num>
  <w:num w:numId="31" w16cid:durableId="83261900">
    <w:abstractNumId w:val="10"/>
  </w:num>
  <w:num w:numId="32" w16cid:durableId="2018843979">
    <w:abstractNumId w:val="14"/>
  </w:num>
  <w:num w:numId="33" w16cid:durableId="187332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829763">
    <w:abstractNumId w:val="11"/>
  </w:num>
  <w:num w:numId="35" w16cid:durableId="956760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EA"/>
    <w:rsid w:val="00011617"/>
    <w:rsid w:val="0001523F"/>
    <w:rsid w:val="0002412F"/>
    <w:rsid w:val="0004417D"/>
    <w:rsid w:val="00045D95"/>
    <w:rsid w:val="00056A72"/>
    <w:rsid w:val="000572DA"/>
    <w:rsid w:val="00064EF5"/>
    <w:rsid w:val="00081EA6"/>
    <w:rsid w:val="00084BF7"/>
    <w:rsid w:val="000A3DFF"/>
    <w:rsid w:val="000A3FA5"/>
    <w:rsid w:val="000B3038"/>
    <w:rsid w:val="000B5D34"/>
    <w:rsid w:val="000C2973"/>
    <w:rsid w:val="000C5865"/>
    <w:rsid w:val="000F4E64"/>
    <w:rsid w:val="000F5C9D"/>
    <w:rsid w:val="0012573A"/>
    <w:rsid w:val="001271C3"/>
    <w:rsid w:val="00130B7C"/>
    <w:rsid w:val="0014251D"/>
    <w:rsid w:val="001572CA"/>
    <w:rsid w:val="00157FA8"/>
    <w:rsid w:val="0016519C"/>
    <w:rsid w:val="00170DAB"/>
    <w:rsid w:val="00171651"/>
    <w:rsid w:val="00172FFB"/>
    <w:rsid w:val="00183712"/>
    <w:rsid w:val="00183DF9"/>
    <w:rsid w:val="00184B6E"/>
    <w:rsid w:val="00193C23"/>
    <w:rsid w:val="00197F6A"/>
    <w:rsid w:val="001A50D4"/>
    <w:rsid w:val="001D46FE"/>
    <w:rsid w:val="001D5139"/>
    <w:rsid w:val="001F4FEB"/>
    <w:rsid w:val="00256433"/>
    <w:rsid w:val="0026480E"/>
    <w:rsid w:val="00265BE1"/>
    <w:rsid w:val="00272FE4"/>
    <w:rsid w:val="00273CE0"/>
    <w:rsid w:val="002A53F3"/>
    <w:rsid w:val="002C0C23"/>
    <w:rsid w:val="002C51CD"/>
    <w:rsid w:val="002E03C0"/>
    <w:rsid w:val="0034489D"/>
    <w:rsid w:val="003750E7"/>
    <w:rsid w:val="00377B49"/>
    <w:rsid w:val="00386543"/>
    <w:rsid w:val="003A294D"/>
    <w:rsid w:val="003C1A50"/>
    <w:rsid w:val="003C1C38"/>
    <w:rsid w:val="003C4492"/>
    <w:rsid w:val="003C7144"/>
    <w:rsid w:val="003E0A5F"/>
    <w:rsid w:val="003E5BB6"/>
    <w:rsid w:val="003F0923"/>
    <w:rsid w:val="00410AD4"/>
    <w:rsid w:val="00414257"/>
    <w:rsid w:val="00433DF0"/>
    <w:rsid w:val="00437136"/>
    <w:rsid w:val="0044038A"/>
    <w:rsid w:val="004415F4"/>
    <w:rsid w:val="00476A39"/>
    <w:rsid w:val="00497C63"/>
    <w:rsid w:val="004A1742"/>
    <w:rsid w:val="004B1FC1"/>
    <w:rsid w:val="004B7090"/>
    <w:rsid w:val="004D413A"/>
    <w:rsid w:val="004E0308"/>
    <w:rsid w:val="005212B3"/>
    <w:rsid w:val="00523148"/>
    <w:rsid w:val="00582492"/>
    <w:rsid w:val="005C7D47"/>
    <w:rsid w:val="005D2257"/>
    <w:rsid w:val="005D2260"/>
    <w:rsid w:val="005E34D3"/>
    <w:rsid w:val="005E6189"/>
    <w:rsid w:val="005F21BB"/>
    <w:rsid w:val="00605EFD"/>
    <w:rsid w:val="00612721"/>
    <w:rsid w:val="00614039"/>
    <w:rsid w:val="00645320"/>
    <w:rsid w:val="00647135"/>
    <w:rsid w:val="00673577"/>
    <w:rsid w:val="00677738"/>
    <w:rsid w:val="00685253"/>
    <w:rsid w:val="00697D88"/>
    <w:rsid w:val="006A1775"/>
    <w:rsid w:val="006B0C37"/>
    <w:rsid w:val="006B1367"/>
    <w:rsid w:val="006B6E67"/>
    <w:rsid w:val="006F4F13"/>
    <w:rsid w:val="006F5644"/>
    <w:rsid w:val="007416A7"/>
    <w:rsid w:val="00747B91"/>
    <w:rsid w:val="00753638"/>
    <w:rsid w:val="0075701C"/>
    <w:rsid w:val="00766ED4"/>
    <w:rsid w:val="0076713B"/>
    <w:rsid w:val="00780AF8"/>
    <w:rsid w:val="0079214F"/>
    <w:rsid w:val="007B06F8"/>
    <w:rsid w:val="007B511D"/>
    <w:rsid w:val="007C236C"/>
    <w:rsid w:val="007C60A5"/>
    <w:rsid w:val="007C67DE"/>
    <w:rsid w:val="007E044B"/>
    <w:rsid w:val="007E5976"/>
    <w:rsid w:val="007F3227"/>
    <w:rsid w:val="008041F6"/>
    <w:rsid w:val="008147CD"/>
    <w:rsid w:val="00814CBA"/>
    <w:rsid w:val="00815240"/>
    <w:rsid w:val="00821931"/>
    <w:rsid w:val="00823A0F"/>
    <w:rsid w:val="00824FF6"/>
    <w:rsid w:val="00841DA0"/>
    <w:rsid w:val="00843794"/>
    <w:rsid w:val="00860B23"/>
    <w:rsid w:val="008664E6"/>
    <w:rsid w:val="0086775A"/>
    <w:rsid w:val="008B7203"/>
    <w:rsid w:val="008D3909"/>
    <w:rsid w:val="008E6FBB"/>
    <w:rsid w:val="008E7D82"/>
    <w:rsid w:val="008F1D2D"/>
    <w:rsid w:val="00900C23"/>
    <w:rsid w:val="00930B28"/>
    <w:rsid w:val="009335BA"/>
    <w:rsid w:val="0098407C"/>
    <w:rsid w:val="00984D4F"/>
    <w:rsid w:val="0098736A"/>
    <w:rsid w:val="009B195B"/>
    <w:rsid w:val="009B2A60"/>
    <w:rsid w:val="009B735C"/>
    <w:rsid w:val="009C0C3B"/>
    <w:rsid w:val="009E15C9"/>
    <w:rsid w:val="00A05A38"/>
    <w:rsid w:val="00A112BF"/>
    <w:rsid w:val="00A12D97"/>
    <w:rsid w:val="00A15751"/>
    <w:rsid w:val="00A20CFB"/>
    <w:rsid w:val="00A25611"/>
    <w:rsid w:val="00A41123"/>
    <w:rsid w:val="00A47B6B"/>
    <w:rsid w:val="00A505AF"/>
    <w:rsid w:val="00A62FD4"/>
    <w:rsid w:val="00A67014"/>
    <w:rsid w:val="00A67663"/>
    <w:rsid w:val="00A72AC9"/>
    <w:rsid w:val="00A77175"/>
    <w:rsid w:val="00A82FB4"/>
    <w:rsid w:val="00AA5992"/>
    <w:rsid w:val="00AB54E4"/>
    <w:rsid w:val="00AC4A5D"/>
    <w:rsid w:val="00AC6A51"/>
    <w:rsid w:val="00AD146B"/>
    <w:rsid w:val="00AE23B4"/>
    <w:rsid w:val="00AF37A2"/>
    <w:rsid w:val="00B059D4"/>
    <w:rsid w:val="00B10D32"/>
    <w:rsid w:val="00B21BA5"/>
    <w:rsid w:val="00B53B3D"/>
    <w:rsid w:val="00B604D1"/>
    <w:rsid w:val="00BC1BB7"/>
    <w:rsid w:val="00BE3E57"/>
    <w:rsid w:val="00BF12F1"/>
    <w:rsid w:val="00BF37EC"/>
    <w:rsid w:val="00C215EA"/>
    <w:rsid w:val="00C40081"/>
    <w:rsid w:val="00C509D1"/>
    <w:rsid w:val="00C55983"/>
    <w:rsid w:val="00C6509D"/>
    <w:rsid w:val="00C65A2A"/>
    <w:rsid w:val="00C67CA0"/>
    <w:rsid w:val="00C70DF5"/>
    <w:rsid w:val="00C77573"/>
    <w:rsid w:val="00C83BF7"/>
    <w:rsid w:val="00C93C9D"/>
    <w:rsid w:val="00CB768C"/>
    <w:rsid w:val="00CB7A1F"/>
    <w:rsid w:val="00CC1661"/>
    <w:rsid w:val="00CE2233"/>
    <w:rsid w:val="00CF09FB"/>
    <w:rsid w:val="00D134AF"/>
    <w:rsid w:val="00D1703B"/>
    <w:rsid w:val="00D32233"/>
    <w:rsid w:val="00D34C18"/>
    <w:rsid w:val="00D428E4"/>
    <w:rsid w:val="00D611AE"/>
    <w:rsid w:val="00D8172A"/>
    <w:rsid w:val="00D90DD9"/>
    <w:rsid w:val="00DC0E7E"/>
    <w:rsid w:val="00DD37DC"/>
    <w:rsid w:val="00DE5FDA"/>
    <w:rsid w:val="00E078EA"/>
    <w:rsid w:val="00E23AEB"/>
    <w:rsid w:val="00E25EC8"/>
    <w:rsid w:val="00E41AD8"/>
    <w:rsid w:val="00E47A50"/>
    <w:rsid w:val="00E656CD"/>
    <w:rsid w:val="00E7708A"/>
    <w:rsid w:val="00E87F0E"/>
    <w:rsid w:val="00E92AB6"/>
    <w:rsid w:val="00E94718"/>
    <w:rsid w:val="00E952CB"/>
    <w:rsid w:val="00EA650D"/>
    <w:rsid w:val="00EB73B1"/>
    <w:rsid w:val="00EE0658"/>
    <w:rsid w:val="00EF26B6"/>
    <w:rsid w:val="00EF3EB5"/>
    <w:rsid w:val="00F30028"/>
    <w:rsid w:val="00F30C64"/>
    <w:rsid w:val="00F42F04"/>
    <w:rsid w:val="00F45037"/>
    <w:rsid w:val="00F45DF4"/>
    <w:rsid w:val="00F7070D"/>
    <w:rsid w:val="00F84BFE"/>
    <w:rsid w:val="00F92351"/>
    <w:rsid w:val="00F9707B"/>
    <w:rsid w:val="00FA593E"/>
    <w:rsid w:val="00FC30FA"/>
    <w:rsid w:val="00FE2B35"/>
    <w:rsid w:val="00FE5BFD"/>
    <w:rsid w:val="00FF37E8"/>
    <w:rsid w:val="028F8E8F"/>
    <w:rsid w:val="094B7FEF"/>
    <w:rsid w:val="0A06FF0B"/>
    <w:rsid w:val="14B29A97"/>
    <w:rsid w:val="1E279D72"/>
    <w:rsid w:val="200A30D0"/>
    <w:rsid w:val="24F87656"/>
    <w:rsid w:val="252B459D"/>
    <w:rsid w:val="31F69410"/>
    <w:rsid w:val="3AD843C3"/>
    <w:rsid w:val="3BA54472"/>
    <w:rsid w:val="413F6B39"/>
    <w:rsid w:val="42E4B92D"/>
    <w:rsid w:val="43719490"/>
    <w:rsid w:val="4598A020"/>
    <w:rsid w:val="4F92B612"/>
    <w:rsid w:val="57B669AE"/>
    <w:rsid w:val="65DBFCE5"/>
    <w:rsid w:val="67EF7068"/>
    <w:rsid w:val="69124750"/>
    <w:rsid w:val="6ACB6527"/>
    <w:rsid w:val="6D0CCFDD"/>
    <w:rsid w:val="74818F39"/>
    <w:rsid w:val="7B6A3D92"/>
    <w:rsid w:val="7F70C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D91B"/>
  <w15:chartTrackingRefBased/>
  <w15:docId w15:val="{2D0D03F8-57E1-4E44-BE0E-14110C3A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7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07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078E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078E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078E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078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78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78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78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8E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078E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078E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078E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078E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078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78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78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78EA"/>
    <w:rPr>
      <w:rFonts w:eastAsiaTheme="majorEastAsia" w:cstheme="majorBidi"/>
      <w:color w:val="272727" w:themeColor="text1" w:themeTint="D8"/>
    </w:rPr>
  </w:style>
  <w:style w:type="paragraph" w:styleId="Titre">
    <w:name w:val="Title"/>
    <w:basedOn w:val="Normal"/>
    <w:next w:val="Normal"/>
    <w:link w:val="TitreCar"/>
    <w:uiPriority w:val="10"/>
    <w:qFormat/>
    <w:rsid w:val="00E07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78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78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78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78EA"/>
    <w:pPr>
      <w:spacing w:before="160"/>
      <w:jc w:val="center"/>
    </w:pPr>
    <w:rPr>
      <w:i/>
      <w:iCs/>
      <w:color w:val="404040" w:themeColor="text1" w:themeTint="BF"/>
    </w:rPr>
  </w:style>
  <w:style w:type="character" w:customStyle="1" w:styleId="CitationCar">
    <w:name w:val="Citation Car"/>
    <w:basedOn w:val="Policepardfaut"/>
    <w:link w:val="Citation"/>
    <w:uiPriority w:val="29"/>
    <w:rsid w:val="00E078EA"/>
    <w:rPr>
      <w:i/>
      <w:iCs/>
      <w:color w:val="404040" w:themeColor="text1" w:themeTint="BF"/>
    </w:rPr>
  </w:style>
  <w:style w:type="paragraph" w:styleId="Paragraphedeliste">
    <w:name w:val="List Paragraph"/>
    <w:basedOn w:val="Normal"/>
    <w:uiPriority w:val="34"/>
    <w:qFormat/>
    <w:rsid w:val="00E078EA"/>
    <w:pPr>
      <w:ind w:left="720"/>
      <w:contextualSpacing/>
    </w:pPr>
  </w:style>
  <w:style w:type="character" w:styleId="Accentuationintense">
    <w:name w:val="Intense Emphasis"/>
    <w:basedOn w:val="Policepardfaut"/>
    <w:uiPriority w:val="21"/>
    <w:qFormat/>
    <w:rsid w:val="00E078EA"/>
    <w:rPr>
      <w:i/>
      <w:iCs/>
      <w:color w:val="2F5496" w:themeColor="accent1" w:themeShade="BF"/>
    </w:rPr>
  </w:style>
  <w:style w:type="paragraph" w:styleId="Citationintense">
    <w:name w:val="Intense Quote"/>
    <w:basedOn w:val="Normal"/>
    <w:next w:val="Normal"/>
    <w:link w:val="CitationintenseCar"/>
    <w:uiPriority w:val="30"/>
    <w:qFormat/>
    <w:rsid w:val="00E07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078EA"/>
    <w:rPr>
      <w:i/>
      <w:iCs/>
      <w:color w:val="2F5496" w:themeColor="accent1" w:themeShade="BF"/>
    </w:rPr>
  </w:style>
  <w:style w:type="character" w:styleId="Rfrenceintense">
    <w:name w:val="Intense Reference"/>
    <w:basedOn w:val="Policepardfaut"/>
    <w:uiPriority w:val="32"/>
    <w:qFormat/>
    <w:rsid w:val="00E078EA"/>
    <w:rPr>
      <w:b/>
      <w:bCs/>
      <w:smallCaps/>
      <w:color w:val="2F5496" w:themeColor="accent1" w:themeShade="BF"/>
      <w:spacing w:val="5"/>
    </w:rPr>
  </w:style>
  <w:style w:type="paragraph" w:styleId="En-tte">
    <w:name w:val="header"/>
    <w:basedOn w:val="Normal"/>
    <w:link w:val="En-tteCar"/>
    <w:uiPriority w:val="99"/>
    <w:unhideWhenUsed/>
    <w:rsid w:val="000B3038"/>
    <w:pPr>
      <w:tabs>
        <w:tab w:val="center" w:pos="4513"/>
        <w:tab w:val="right" w:pos="9026"/>
      </w:tabs>
      <w:spacing w:after="0" w:line="240" w:lineRule="auto"/>
    </w:pPr>
  </w:style>
  <w:style w:type="character" w:customStyle="1" w:styleId="En-tteCar">
    <w:name w:val="En-tête Car"/>
    <w:basedOn w:val="Policepardfaut"/>
    <w:link w:val="En-tte"/>
    <w:uiPriority w:val="99"/>
    <w:rsid w:val="000B3038"/>
  </w:style>
  <w:style w:type="paragraph" w:styleId="Pieddepage">
    <w:name w:val="footer"/>
    <w:basedOn w:val="Normal"/>
    <w:link w:val="PieddepageCar"/>
    <w:uiPriority w:val="99"/>
    <w:unhideWhenUsed/>
    <w:rsid w:val="000B303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B3038"/>
  </w:style>
  <w:style w:type="character" w:customStyle="1" w:styleId="normaltextrun">
    <w:name w:val="normaltextrun"/>
    <w:basedOn w:val="Policepardfaut"/>
    <w:rsid w:val="00081EA6"/>
  </w:style>
  <w:style w:type="character" w:styleId="lev">
    <w:name w:val="Strong"/>
    <w:basedOn w:val="Policepardfaut"/>
    <w:uiPriority w:val="22"/>
    <w:qFormat/>
    <w:rsid w:val="00081EA6"/>
    <w:rPr>
      <w:b/>
      <w:bCs/>
    </w:rPr>
  </w:style>
  <w:style w:type="paragraph" w:styleId="NormalWeb">
    <w:name w:val="Normal (Web)"/>
    <w:basedOn w:val="Normal"/>
    <w:uiPriority w:val="99"/>
    <w:unhideWhenUsed/>
    <w:rsid w:val="00081EA6"/>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styleId="Rvision">
    <w:name w:val="Revision"/>
    <w:hidden/>
    <w:uiPriority w:val="99"/>
    <w:semiHidden/>
    <w:rsid w:val="003E5BB6"/>
    <w:pPr>
      <w:spacing w:after="0" w:line="240" w:lineRule="auto"/>
    </w:pPr>
  </w:style>
  <w:style w:type="character" w:styleId="Lienhypertexte">
    <w:name w:val="Hyperlink"/>
    <w:basedOn w:val="Policepardfaut"/>
    <w:uiPriority w:val="99"/>
    <w:unhideWhenUsed/>
    <w:rsid w:val="00582492"/>
    <w:rPr>
      <w:color w:val="0563C1"/>
      <w:u w:val="single"/>
    </w:rPr>
  </w:style>
  <w:style w:type="paragraph" w:styleId="Commentaire">
    <w:name w:val="annotation text"/>
    <w:basedOn w:val="Normal"/>
    <w:link w:val="CommentaireCar"/>
    <w:uiPriority w:val="99"/>
    <w:semiHidden/>
    <w:unhideWhenUsed/>
    <w:rsid w:val="00CB7A1F"/>
    <w:pPr>
      <w:spacing w:line="240" w:lineRule="auto"/>
    </w:pPr>
    <w:rPr>
      <w:sz w:val="20"/>
      <w:szCs w:val="20"/>
    </w:rPr>
  </w:style>
  <w:style w:type="character" w:customStyle="1" w:styleId="CommentaireCar">
    <w:name w:val="Commentaire Car"/>
    <w:basedOn w:val="Policepardfaut"/>
    <w:link w:val="Commentaire"/>
    <w:uiPriority w:val="99"/>
    <w:semiHidden/>
    <w:rsid w:val="00CB7A1F"/>
    <w:rPr>
      <w:sz w:val="20"/>
      <w:szCs w:val="20"/>
    </w:rPr>
  </w:style>
  <w:style w:type="character" w:styleId="Marquedecommentaire">
    <w:name w:val="annotation reference"/>
    <w:basedOn w:val="Policepardfaut"/>
    <w:uiPriority w:val="99"/>
    <w:semiHidden/>
    <w:unhideWhenUsed/>
    <w:rsid w:val="00CB7A1F"/>
    <w:rPr>
      <w:sz w:val="16"/>
      <w:szCs w:val="16"/>
    </w:rPr>
  </w:style>
  <w:style w:type="character" w:styleId="Mentionnonrsolue">
    <w:name w:val="Unresolved Mention"/>
    <w:basedOn w:val="Policepardfaut"/>
    <w:uiPriority w:val="99"/>
    <w:semiHidden/>
    <w:unhideWhenUsed/>
    <w:rsid w:val="00011617"/>
    <w:rPr>
      <w:color w:val="605E5C"/>
      <w:shd w:val="clear" w:color="auto" w:fill="E1DFDD"/>
    </w:rPr>
  </w:style>
  <w:style w:type="paragraph" w:customStyle="1" w:styleId="paragraph">
    <w:name w:val="paragraph"/>
    <w:basedOn w:val="Normal"/>
    <w:rsid w:val="008041F6"/>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eop">
    <w:name w:val="eop"/>
    <w:basedOn w:val="Policepardfaut"/>
    <w:rsid w:val="0080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153">
      <w:bodyDiv w:val="1"/>
      <w:marLeft w:val="0"/>
      <w:marRight w:val="0"/>
      <w:marTop w:val="0"/>
      <w:marBottom w:val="0"/>
      <w:divBdr>
        <w:top w:val="none" w:sz="0" w:space="0" w:color="auto"/>
        <w:left w:val="none" w:sz="0" w:space="0" w:color="auto"/>
        <w:bottom w:val="none" w:sz="0" w:space="0" w:color="auto"/>
        <w:right w:val="none" w:sz="0" w:space="0" w:color="auto"/>
      </w:divBdr>
    </w:div>
    <w:div w:id="116414092">
      <w:bodyDiv w:val="1"/>
      <w:marLeft w:val="0"/>
      <w:marRight w:val="0"/>
      <w:marTop w:val="0"/>
      <w:marBottom w:val="0"/>
      <w:divBdr>
        <w:top w:val="none" w:sz="0" w:space="0" w:color="auto"/>
        <w:left w:val="none" w:sz="0" w:space="0" w:color="auto"/>
        <w:bottom w:val="none" w:sz="0" w:space="0" w:color="auto"/>
        <w:right w:val="none" w:sz="0" w:space="0" w:color="auto"/>
      </w:divBdr>
    </w:div>
    <w:div w:id="124592199">
      <w:bodyDiv w:val="1"/>
      <w:marLeft w:val="0"/>
      <w:marRight w:val="0"/>
      <w:marTop w:val="0"/>
      <w:marBottom w:val="0"/>
      <w:divBdr>
        <w:top w:val="none" w:sz="0" w:space="0" w:color="auto"/>
        <w:left w:val="none" w:sz="0" w:space="0" w:color="auto"/>
        <w:bottom w:val="none" w:sz="0" w:space="0" w:color="auto"/>
        <w:right w:val="none" w:sz="0" w:space="0" w:color="auto"/>
      </w:divBdr>
    </w:div>
    <w:div w:id="146827913">
      <w:bodyDiv w:val="1"/>
      <w:marLeft w:val="0"/>
      <w:marRight w:val="0"/>
      <w:marTop w:val="0"/>
      <w:marBottom w:val="0"/>
      <w:divBdr>
        <w:top w:val="none" w:sz="0" w:space="0" w:color="auto"/>
        <w:left w:val="none" w:sz="0" w:space="0" w:color="auto"/>
        <w:bottom w:val="none" w:sz="0" w:space="0" w:color="auto"/>
        <w:right w:val="none" w:sz="0" w:space="0" w:color="auto"/>
      </w:divBdr>
    </w:div>
    <w:div w:id="201794409">
      <w:bodyDiv w:val="1"/>
      <w:marLeft w:val="0"/>
      <w:marRight w:val="0"/>
      <w:marTop w:val="0"/>
      <w:marBottom w:val="0"/>
      <w:divBdr>
        <w:top w:val="none" w:sz="0" w:space="0" w:color="auto"/>
        <w:left w:val="none" w:sz="0" w:space="0" w:color="auto"/>
        <w:bottom w:val="none" w:sz="0" w:space="0" w:color="auto"/>
        <w:right w:val="none" w:sz="0" w:space="0" w:color="auto"/>
      </w:divBdr>
    </w:div>
    <w:div w:id="883369779">
      <w:bodyDiv w:val="1"/>
      <w:marLeft w:val="0"/>
      <w:marRight w:val="0"/>
      <w:marTop w:val="0"/>
      <w:marBottom w:val="0"/>
      <w:divBdr>
        <w:top w:val="none" w:sz="0" w:space="0" w:color="auto"/>
        <w:left w:val="none" w:sz="0" w:space="0" w:color="auto"/>
        <w:bottom w:val="none" w:sz="0" w:space="0" w:color="auto"/>
        <w:right w:val="none" w:sz="0" w:space="0" w:color="auto"/>
      </w:divBdr>
    </w:div>
    <w:div w:id="967276751">
      <w:bodyDiv w:val="1"/>
      <w:marLeft w:val="0"/>
      <w:marRight w:val="0"/>
      <w:marTop w:val="0"/>
      <w:marBottom w:val="0"/>
      <w:divBdr>
        <w:top w:val="none" w:sz="0" w:space="0" w:color="auto"/>
        <w:left w:val="none" w:sz="0" w:space="0" w:color="auto"/>
        <w:bottom w:val="none" w:sz="0" w:space="0" w:color="auto"/>
        <w:right w:val="none" w:sz="0" w:space="0" w:color="auto"/>
      </w:divBdr>
    </w:div>
    <w:div w:id="1229072138">
      <w:bodyDiv w:val="1"/>
      <w:marLeft w:val="0"/>
      <w:marRight w:val="0"/>
      <w:marTop w:val="0"/>
      <w:marBottom w:val="0"/>
      <w:divBdr>
        <w:top w:val="none" w:sz="0" w:space="0" w:color="auto"/>
        <w:left w:val="none" w:sz="0" w:space="0" w:color="auto"/>
        <w:bottom w:val="none" w:sz="0" w:space="0" w:color="auto"/>
        <w:right w:val="none" w:sz="0" w:space="0" w:color="auto"/>
      </w:divBdr>
    </w:div>
    <w:div w:id="1235777007">
      <w:bodyDiv w:val="1"/>
      <w:marLeft w:val="0"/>
      <w:marRight w:val="0"/>
      <w:marTop w:val="0"/>
      <w:marBottom w:val="0"/>
      <w:divBdr>
        <w:top w:val="none" w:sz="0" w:space="0" w:color="auto"/>
        <w:left w:val="none" w:sz="0" w:space="0" w:color="auto"/>
        <w:bottom w:val="none" w:sz="0" w:space="0" w:color="auto"/>
        <w:right w:val="none" w:sz="0" w:space="0" w:color="auto"/>
      </w:divBdr>
    </w:div>
    <w:div w:id="1825003896">
      <w:bodyDiv w:val="1"/>
      <w:marLeft w:val="0"/>
      <w:marRight w:val="0"/>
      <w:marTop w:val="0"/>
      <w:marBottom w:val="0"/>
      <w:divBdr>
        <w:top w:val="none" w:sz="0" w:space="0" w:color="auto"/>
        <w:left w:val="none" w:sz="0" w:space="0" w:color="auto"/>
        <w:bottom w:val="none" w:sz="0" w:space="0" w:color="auto"/>
        <w:right w:val="none" w:sz="0" w:space="0" w:color="auto"/>
      </w:divBdr>
    </w:div>
    <w:div w:id="1874807826">
      <w:bodyDiv w:val="1"/>
      <w:marLeft w:val="0"/>
      <w:marRight w:val="0"/>
      <w:marTop w:val="0"/>
      <w:marBottom w:val="0"/>
      <w:divBdr>
        <w:top w:val="none" w:sz="0" w:space="0" w:color="auto"/>
        <w:left w:val="none" w:sz="0" w:space="0" w:color="auto"/>
        <w:bottom w:val="none" w:sz="0" w:space="0" w:color="auto"/>
        <w:right w:val="none" w:sz="0" w:space="0" w:color="auto"/>
      </w:divBdr>
    </w:div>
    <w:div w:id="20408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gis.org/downloads/macos/qgis-macos-ltr.dmg" TargetMode="External" /><Relationship Id="rId13" Type="http://schemas.openxmlformats.org/officeDocument/2006/relationships/hyperlink" Target="https://figi.itu.int/wp-content/uploads/2022/03/Recommendations-to-mitigate-SS7-vulnerabilities.pdf" TargetMode="External" /><Relationship Id="rId18" Type="http://schemas.openxmlformats.org/officeDocument/2006/relationships/hyperlink" Target="https://www.itu.int/en/ITU-T/dfs/Documents/Recommandations%20cl%C3%A9s%20pour%20la%20s%C3%A9curit%C3%A9%20des%20Services%20Financiers%20Num%C3%A9riques.pdf"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https://figi.itu.int/wp-content/uploads/2022/03/Template-for-a-Model-MOU-between-a-Telecommunications-Regulator-and-Central-Bank-related-to-DFS-Security.pdf" TargetMode="External" /><Relationship Id="rId7" Type="http://schemas.openxmlformats.org/officeDocument/2006/relationships/hyperlink" Target="mailto:https://qgis.org/downloads/QGIS-OSGeo4W-3.34.9-1.msi" TargetMode="External" /><Relationship Id="rId12" Type="http://schemas.openxmlformats.org/officeDocument/2006/relationships/hyperlink" Target="https://www.itu.int/en/ITU-T/dfs/Documents/Recommandations%20cl%C3%A9s%20pour%20la%20s%C3%A9curit%C3%A9%20des%20Services%20Financiers%20Num%C3%A9riques.pdf" TargetMode="External" /><Relationship Id="rId17" Type="http://schemas.openxmlformats.org/officeDocument/2006/relationships/hyperlink" Target="https://figi.itu.int/wp-content/uploads/2021/04/Digital-Financial-Services-Consumer-Competency-Framework-1.pdf"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figi.itu.int/wp-content/uploads/2022/03/Template-for-a-Model-MOU-between-a-Telecommunications-Regulator-and-Central-Bank-related-to-DFS-Security.pdf" TargetMode="External" /><Relationship Id="rId20" Type="http://schemas.openxmlformats.org/officeDocument/2006/relationships/hyperlink" Target="https://www.itu.int/en/ITU-T/dfs/Pages/share-platform.aspx"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support.google.com/accounts/answer/27441?hl=en" TargetMode="External" /><Relationship Id="rId24"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yperlink" Target="https://figi.itu.int/wp-content/uploads/2022/03/Mobile-Application-Security-Best-practices-.pdf" TargetMode="External" /><Relationship Id="rId23" Type="http://schemas.openxmlformats.org/officeDocument/2006/relationships/hyperlink" Target="https://figi.itu.int/wp-content/uploads/2022/03/Mobile-Application-Security-Best-practices-.pdf" TargetMode="External" /><Relationship Id="rId10" Type="http://schemas.openxmlformats.org/officeDocument/2006/relationships/hyperlink" Target="mailto:https://support.google.com/accounts/answer/27441?hl=en" TargetMode="External" /><Relationship Id="rId19" Type="http://schemas.openxmlformats.org/officeDocument/2006/relationships/hyperlink" Target="https://www.itu.int/en/ITU-T/dfs/Documents/Recommandations%20cl%C3%A9s%20pour%20la%20s%C3%A9curit%C3%A9%20des%20Services%20Financiers%20Num%C3%A9riques.pdf" TargetMode="External" /><Relationship Id="rId4" Type="http://schemas.openxmlformats.org/officeDocument/2006/relationships/webSettings" Target="webSettings.xml" /><Relationship Id="rId9" Type="http://schemas.openxmlformats.org/officeDocument/2006/relationships/hyperlink" Target="https://qgis.org/downloads/macos/qgis-macos-ltr.dmg" TargetMode="External" /><Relationship Id="rId14" Type="http://schemas.openxmlformats.org/officeDocument/2006/relationships/hyperlink" Target="https://figi.itu.int/wp-content/uploads/2022/03/Security-recommendations-to-protect-against-DFS-SIM-related-risks-and-SIM-swap-fraud.pdf" TargetMode="External" /><Relationship Id="rId22" Type="http://schemas.openxmlformats.org/officeDocument/2006/relationships/hyperlink" Target="https://figi.itu.int/wp-content/uploads/2022/03/Recommendations-to-mitigate-SS7-vulnerabilities.pdf"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3358</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Links>
    <vt:vector size="18" baseType="variant">
      <vt:variant>
        <vt:i4>6291502</vt:i4>
      </vt:variant>
      <vt:variant>
        <vt:i4>6</vt:i4>
      </vt:variant>
      <vt:variant>
        <vt:i4>0</vt:i4>
      </vt:variant>
      <vt:variant>
        <vt:i4>5</vt:i4>
      </vt:variant>
      <vt:variant>
        <vt:lpwstr>https://support.google.com/accounts/answer/27441?hl=en</vt:lpwstr>
      </vt:variant>
      <vt:variant>
        <vt:lpwstr/>
      </vt:variant>
      <vt:variant>
        <vt:i4>3932220</vt:i4>
      </vt:variant>
      <vt:variant>
        <vt:i4>3</vt:i4>
      </vt:variant>
      <vt:variant>
        <vt:i4>0</vt:i4>
      </vt:variant>
      <vt:variant>
        <vt:i4>5</vt:i4>
      </vt:variant>
      <vt:variant>
        <vt:lpwstr>https://qgis.org/downloads/macos/qgis-macos-ltr.dmg</vt:lpwstr>
      </vt:variant>
      <vt:variant>
        <vt:lpwstr/>
      </vt:variant>
      <vt:variant>
        <vt:i4>4980820</vt:i4>
      </vt:variant>
      <vt:variant>
        <vt:i4>0</vt:i4>
      </vt:variant>
      <vt:variant>
        <vt:i4>0</vt:i4>
      </vt:variant>
      <vt:variant>
        <vt:i4>5</vt:i4>
      </vt:variant>
      <vt:variant>
        <vt:lpwstr>https://qgis.org/downloads/QGIS-OSGeo4W-3.34.9-1.msi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Zongo, Serge Valery</dc:creator>
  <cp:keywords/>
  <dc:description/>
  <cp:lastModifiedBy>Beaugas Orain</cp:lastModifiedBy>
  <cp:revision>2</cp:revision>
  <dcterms:created xsi:type="dcterms:W3CDTF">2025-12-02T10:47:00Z</dcterms:created>
  <dcterms:modified xsi:type="dcterms:W3CDTF">2025-12-02T10:47:00Z</dcterms:modified>
</cp:coreProperties>
</file>